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B46A">
      <w:pPr>
        <w:pStyle w:val="6"/>
        <w:spacing w:line="360" w:lineRule="auto"/>
        <w:rPr>
          <w:rFonts w:hint="eastAsia" w:asciiTheme="minorEastAsia" w:hAnsiTheme="minorEastAsia" w:eastAsiaTheme="minorEastAsia" w:cstheme="minorEastAsia"/>
          <w:sz w:val="24"/>
          <w:szCs w:val="24"/>
          <w:lang w:val="en-US" w:eastAsia="zh-CN"/>
        </w:rPr>
      </w:pPr>
      <w:bookmarkStart w:id="0" w:name="_Toc6728"/>
      <w:r>
        <w:rPr>
          <w:rFonts w:hint="eastAsia"/>
          <w:lang w:val="en-US" w:eastAsia="zh-CN"/>
        </w:rPr>
        <w:t>CT维保</w:t>
      </w:r>
      <w:r>
        <w:rPr>
          <w:rFonts w:hint="eastAsia"/>
        </w:rPr>
        <w:t>服务要求</w:t>
      </w:r>
      <w:bookmarkEnd w:id="0"/>
    </w:p>
    <w:p w14:paraId="7F6F5C79">
      <w:pPr>
        <w:pStyle w:val="2"/>
        <w:keepNext w:val="0"/>
        <w:numPr>
          <w:ilvl w:val="0"/>
          <w:numId w:val="0"/>
        </w:numPr>
        <w:spacing w:line="240" w:lineRule="auto"/>
        <w:rPr>
          <w:rFonts w:hint="eastAsia" w:ascii="宋体" w:hAnsi="宋体" w:eastAsia="微软雅黑" w:cstheme="minorBidi"/>
          <w:b/>
          <w:bCs/>
          <w:kern w:val="0"/>
          <w:sz w:val="22"/>
          <w:szCs w:val="22"/>
          <w:lang w:val="en-US" w:eastAsia="zh-CN" w:bidi="ar-SA"/>
        </w:rPr>
      </w:pPr>
      <w:r>
        <w:rPr>
          <w:rFonts w:hint="eastAsia" w:ascii="宋体" w:hAnsi="宋体" w:eastAsia="微软雅黑" w:cstheme="minorBidi"/>
          <w:b/>
          <w:bCs/>
          <w:kern w:val="0"/>
          <w:sz w:val="22"/>
          <w:szCs w:val="22"/>
          <w:lang w:val="en-US" w:eastAsia="zh-CN" w:bidi="ar-SA"/>
        </w:rPr>
        <w:t>一、服务要求：</w:t>
      </w:r>
    </w:p>
    <w:p w14:paraId="50A314B2">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★1、保修范围：设备主机及其附属配件技术保，包含标准保养、人工服务、故障判断、安全升级等服务；</w:t>
      </w:r>
    </w:p>
    <w:p w14:paraId="11242CA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2、保修年限：1年（自中标后合同签订之日起）；</w:t>
      </w:r>
    </w:p>
    <w:p w14:paraId="6F9D15A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开机率保证：保修期间要确保系统的正常运行，保证全年开机率（按365天/年计算）开机率≥95%（因配件购买不及时等原因除外）。年开机率不足95%，需按1:3（停机一天延长3天）天数延长，延长期中出现停机按同样比例要求延长保修期；</w:t>
      </w:r>
    </w:p>
    <w:p w14:paraId="72843CA4">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4、响应时间：故障报修后2小时内电话响应，宕机情况下24小时工程师必须赶到现场进行维修；</w:t>
      </w:r>
    </w:p>
    <w:p w14:paraId="62A5DA52">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维护保养：保修期间中标单位应按规范实施对设备的周期维护保养，周期维护保养≥4次，应包括且不仅限于机器清洁除尘、性能测试及校准、必要的机械或电气的检查，使用指导，以及非紧急性质的补救维修，确保系统能按照制造商的产品规格运行的维修；每次进行维保工作均应出具正规维保工作报告并由双方相关人员进行签字确认。</w:t>
      </w:r>
    </w:p>
    <w:p w14:paraId="61520D1F">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6、具有 400 电话支持热线：提供800或400号码；</w:t>
      </w:r>
    </w:p>
    <w:p w14:paraId="54F9A9F4">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★7、具备备件库或固定的专业维修站：存放所有必须的备件，并保证必要的备件供应，提供优质、及时的技术服务（需提供维修站名称和联系方式）。</w:t>
      </w:r>
    </w:p>
    <w:p w14:paraId="10A35703">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8、具备互联网远程故障排除能力：能通过互联网连接远程进行故障排除，能通过互联网连接进行远程应用支持且可以实时显示操作界面（提供相应截图）。</w:t>
      </w:r>
    </w:p>
    <w:p w14:paraId="215ECAE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维保公司专职工程师人数：为保证24小时服务响应，供应商需配备不少于三名CT专职工程师待命确保及时维修，保障设备正常运行。提供原设备制造商颁发的具备CT设备维修专业能力的资质（资格）证书和近3个月的社保证明。</w:t>
      </w:r>
    </w:p>
    <w:p w14:paraId="59E9E95B">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★10、供货证明：供应商承诺中标后提供设备制造商的备件及技术支持供货协议书。（响应文件提供承诺函，格式自拟，合同签订前如不能提供，按《民法典》等有关规定处理；</w:t>
      </w:r>
    </w:p>
    <w:p w14:paraId="6EB09B3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★11、安全升级、安全检查、质量保证：提供原设备制造商标准的安全升级、安全检查、质量保证。符合《中华人民共和国著作权法》等相关法律法规的要求（响应文件中提供承诺函，格式自拟）；</w:t>
      </w:r>
    </w:p>
    <w:p w14:paraId="49CDD4AF">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签订合同后提供设备预防性维护计划，定期向医院提供设备预防性维护记录、设备预防性维护分析报改进及落实情况等相关记录；</w:t>
      </w:r>
    </w:p>
    <w:p w14:paraId="4449B21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为保证设备的稳定运行、软件和系统的及时更新，中标单位在签订合同时，须提供原厂授权书。</w:t>
      </w:r>
    </w:p>
    <w:p w14:paraId="6BC92B21">
      <w:pPr>
        <w:numPr>
          <w:ilvl w:val="0"/>
          <w:numId w:val="1"/>
        </w:num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中标单位在签订合同时需列出常用的备品备件名称及相应更换全新配件价格（除另有相关约定配件价格外，配件价格不得高于市场价），所有设备配件需提供原厂配件，须提供由原厂出具的承诺书。</w:t>
      </w:r>
    </w:p>
    <w:p w14:paraId="2EE863EA">
      <w:pPr>
        <w:pStyle w:val="7"/>
        <w:spacing w:line="500" w:lineRule="exact"/>
        <w:ind w:firstLine="472" w:firstLineChars="196"/>
        <w:jc w:val="left"/>
        <w:rPr>
          <w:b/>
          <w:sz w:val="24"/>
          <w:szCs w:val="24"/>
        </w:rPr>
      </w:pPr>
      <w:r>
        <w:rPr>
          <w:b/>
          <w:sz w:val="24"/>
          <w:szCs w:val="24"/>
        </w:rPr>
        <w:t xml:space="preserve"> </w:t>
      </w:r>
      <w:r>
        <w:rPr>
          <w:rFonts w:hint="eastAsia"/>
          <w:b/>
          <w:sz w:val="24"/>
          <w:szCs w:val="24"/>
        </w:rPr>
        <w:t>注：</w:t>
      </w:r>
    </w:p>
    <w:p w14:paraId="026B8D02">
      <w:pPr>
        <w:pStyle w:val="7"/>
        <w:spacing w:line="500" w:lineRule="exact"/>
        <w:ind w:left="865" w:leftChars="393"/>
        <w:jc w:val="left"/>
        <w:rPr>
          <w:b/>
          <w:szCs w:val="21"/>
        </w:rPr>
      </w:pPr>
      <w:r>
        <w:rPr>
          <w:b/>
          <w:szCs w:val="21"/>
        </w:rPr>
        <w:t>1</w:t>
      </w:r>
      <w:r>
        <w:rPr>
          <w:rFonts w:hint="eastAsia"/>
          <w:b/>
          <w:szCs w:val="21"/>
        </w:rPr>
        <w:t>、</w:t>
      </w:r>
      <w:r>
        <w:rPr>
          <w:rStyle w:val="8"/>
          <w:rFonts w:hint="eastAsia" w:ascii="宋体" w:hAnsi="宋体" w:cs="宋体"/>
          <w:b/>
          <w:lang w:val="en-US" w:eastAsia="zh-CN"/>
        </w:rPr>
        <w:t>服务</w:t>
      </w:r>
      <w:r>
        <w:rPr>
          <w:rStyle w:val="8"/>
          <w:rFonts w:hint="eastAsia" w:ascii="宋体" w:hAnsi="宋体" w:cs="宋体"/>
          <w:b/>
        </w:rPr>
        <w:t>要求必须全部满足要求、否则按无效标处理；</w:t>
      </w:r>
    </w:p>
    <w:p w14:paraId="36064F05">
      <w:pPr>
        <w:pStyle w:val="7"/>
        <w:spacing w:line="360" w:lineRule="auto"/>
        <w:ind w:left="865" w:leftChars="393"/>
        <w:jc w:val="left"/>
        <w:rPr>
          <w:b/>
          <w:szCs w:val="21"/>
        </w:rPr>
      </w:pPr>
    </w:p>
    <w:p w14:paraId="657BBCEE">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w:t>
      </w:r>
      <w:bookmarkStart w:id="1" w:name="_GoBack"/>
      <w:bookmarkEnd w:id="1"/>
      <w:r>
        <w:rPr>
          <w:rFonts w:hint="eastAsia" w:ascii="宋体" w:hAnsi="宋体" w:cs="宋体"/>
          <w:b/>
          <w:bCs/>
          <w:color w:val="FF0000"/>
        </w:rPr>
        <w:t>的重要技术参数</w:t>
      </w:r>
      <w:r>
        <w:rPr>
          <w:rFonts w:hint="eastAsia" w:ascii="宋体" w:hAnsi="宋体" w:cs="宋体"/>
          <w:b/>
          <w:bCs/>
          <w:color w:val="FF0000"/>
          <w:lang w:eastAsia="zh-CN"/>
        </w:rPr>
        <w:t>，</w:t>
      </w:r>
      <w:r>
        <w:rPr>
          <w:rFonts w:hint="eastAsia" w:ascii="宋体" w:hAnsi="宋体" w:cs="宋体"/>
          <w:b/>
          <w:bCs/>
          <w:color w:val="FF0000"/>
          <w:lang w:val="en-US" w:eastAsia="zh-CN"/>
        </w:rPr>
        <w:t>以及非</w:t>
      </w:r>
      <w:r>
        <w:rPr>
          <w:rFonts w:hint="eastAsia" w:ascii="宋体" w:hAnsi="宋体" w:cs="宋体"/>
          <w:b/>
          <w:bCs/>
          <w:color w:val="FF0000"/>
        </w:rPr>
        <w:t>“★”</w:t>
      </w:r>
      <w:r>
        <w:rPr>
          <w:rFonts w:hint="eastAsia" w:ascii="宋体" w:hAnsi="宋体" w:cs="宋体"/>
          <w:b/>
          <w:bCs/>
          <w:color w:val="FF0000"/>
          <w:lang w:val="en-US" w:eastAsia="zh-CN"/>
        </w:rPr>
        <w:t>参数要求提供证明材料的</w:t>
      </w:r>
      <w:r>
        <w:rPr>
          <w:rFonts w:hint="eastAsia" w:ascii="宋体" w:hAnsi="宋体" w:cs="宋体"/>
          <w:b/>
          <w:bCs/>
          <w:color w:val="FF0000"/>
        </w:rPr>
        <w:t>，需附证明材料、标明所在页码，并在证明材料中标识清楚（划线或画圈）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14:paraId="0E30B806">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14:paraId="4C4ACA46">
      <w:pPr>
        <w:rPr>
          <w:rFonts w:hint="eastAsia" w:ascii="宋体" w:hAnsi="宋体" w:cs="宋体"/>
          <w:b/>
          <w:bCs/>
          <w:szCs w:val="21"/>
        </w:rPr>
      </w:pPr>
    </w:p>
    <w:p w14:paraId="2B72FE75">
      <w:pPr>
        <w:rPr>
          <w:rFonts w:hint="eastAsia" w:ascii="宋体" w:hAnsi="宋体" w:cs="宋体"/>
          <w:b/>
          <w:bCs/>
          <w:szCs w:val="21"/>
        </w:rPr>
      </w:pPr>
    </w:p>
    <w:p w14:paraId="68FA370A">
      <w:pPr>
        <w:rPr>
          <w:rFonts w:hint="eastAsia" w:ascii="宋体" w:hAnsi="宋体" w:cs="宋体"/>
          <w:b/>
          <w:bCs/>
          <w:szCs w:val="21"/>
        </w:rPr>
      </w:pPr>
    </w:p>
    <w:p w14:paraId="6906A72B">
      <w:pPr>
        <w:rPr>
          <w:rFonts w:hint="eastAsia" w:ascii="宋体" w:hAnsi="宋体" w:cs="宋体"/>
          <w:b/>
          <w:bCs/>
          <w:szCs w:val="21"/>
        </w:rPr>
      </w:pPr>
    </w:p>
    <w:p w14:paraId="5F57644D">
      <w:pPr>
        <w:rPr>
          <w:rFonts w:ascii="宋体" w:hAnsi="宋体" w:cs="宋体"/>
          <w:b/>
          <w:bCs/>
          <w:szCs w:val="21"/>
        </w:rPr>
      </w:pPr>
      <w:r>
        <w:rPr>
          <w:rFonts w:hint="eastAsia" w:ascii="宋体" w:hAnsi="宋体" w:cs="宋体"/>
          <w:b/>
          <w:bCs/>
          <w:szCs w:val="21"/>
        </w:rPr>
        <w:t>二、商务要求</w:t>
      </w:r>
    </w:p>
    <w:p w14:paraId="636E7EFE">
      <w:pPr>
        <w:rPr>
          <w:rFonts w:ascii="宋体" w:hAnsi="宋体" w:cs="宋体"/>
          <w:b/>
          <w:bCs/>
          <w:szCs w:val="21"/>
        </w:rPr>
      </w:pPr>
      <w:r>
        <w:rPr>
          <w:rFonts w:hint="eastAsia" w:ascii="宋体" w:hAnsi="宋体" w:cs="宋体"/>
          <w:b/>
          <w:bCs/>
          <w:szCs w:val="21"/>
        </w:rPr>
        <w:t xml:space="preserve">         </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520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2A5D06E">
            <w:pPr>
              <w:jc w:val="center"/>
              <w:rPr>
                <w:rFonts w:ascii="宋体" w:hAnsi="宋体" w:cs="宋体"/>
                <w:b/>
                <w:bCs/>
                <w:szCs w:val="21"/>
              </w:rPr>
            </w:pPr>
            <w:r>
              <w:rPr>
                <w:rFonts w:hint="eastAsia" w:ascii="宋体" w:hAnsi="宋体" w:cs="宋体"/>
                <w:b/>
                <w:bCs/>
                <w:szCs w:val="21"/>
              </w:rPr>
              <w:t>序号</w:t>
            </w:r>
          </w:p>
        </w:tc>
        <w:tc>
          <w:tcPr>
            <w:tcW w:w="1701" w:type="dxa"/>
            <w:vAlign w:val="center"/>
          </w:tcPr>
          <w:p w14:paraId="2DF35DE2">
            <w:pPr>
              <w:jc w:val="center"/>
              <w:rPr>
                <w:rFonts w:ascii="宋体" w:hAnsi="宋体" w:cs="宋体"/>
                <w:b/>
                <w:bCs/>
                <w:szCs w:val="21"/>
              </w:rPr>
            </w:pPr>
            <w:r>
              <w:rPr>
                <w:rFonts w:hint="eastAsia" w:ascii="宋体" w:hAnsi="宋体" w:cs="宋体"/>
                <w:b/>
                <w:bCs/>
                <w:szCs w:val="21"/>
              </w:rPr>
              <w:t>内容</w:t>
            </w:r>
          </w:p>
        </w:tc>
        <w:tc>
          <w:tcPr>
            <w:tcW w:w="6294" w:type="dxa"/>
            <w:vAlign w:val="center"/>
          </w:tcPr>
          <w:p w14:paraId="72A83869">
            <w:pPr>
              <w:jc w:val="center"/>
              <w:rPr>
                <w:rFonts w:ascii="宋体" w:hAnsi="宋体" w:cs="宋体"/>
                <w:b/>
                <w:bCs/>
                <w:szCs w:val="21"/>
              </w:rPr>
            </w:pPr>
            <w:r>
              <w:rPr>
                <w:rFonts w:hint="eastAsia" w:ascii="宋体" w:hAnsi="宋体" w:cs="宋体"/>
                <w:b/>
                <w:bCs/>
                <w:szCs w:val="21"/>
              </w:rPr>
              <w:t>要求</w:t>
            </w:r>
          </w:p>
        </w:tc>
      </w:tr>
      <w:tr w14:paraId="5B42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26F8983">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14:paraId="73C2BFFD">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14:paraId="53FF39E7">
            <w:pPr>
              <w:spacing w:line="500" w:lineRule="exact"/>
              <w:rPr>
                <w:rFonts w:ascii="宋体" w:hAnsi="宋体" w:cs="宋体"/>
                <w:b/>
                <w:bCs/>
                <w:szCs w:val="21"/>
              </w:rPr>
            </w:pPr>
            <w:r>
              <w:rPr>
                <w:rFonts w:hint="eastAsia" w:ascii="宋体" w:hAnsi="宋体" w:cs="宋体"/>
                <w:b/>
                <w:bCs/>
                <w:szCs w:val="21"/>
              </w:rPr>
              <w:t>黄山市屯溪区</w:t>
            </w:r>
          </w:p>
        </w:tc>
      </w:tr>
      <w:tr w14:paraId="70F6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8F65437">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14:paraId="05F96A00">
            <w:pPr>
              <w:spacing w:line="500" w:lineRule="exact"/>
              <w:jc w:val="center"/>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期限</w:t>
            </w:r>
          </w:p>
        </w:tc>
        <w:tc>
          <w:tcPr>
            <w:tcW w:w="6294" w:type="dxa"/>
            <w:vAlign w:val="center"/>
          </w:tcPr>
          <w:p w14:paraId="28861513">
            <w:pPr>
              <w:spacing w:line="500" w:lineRule="exact"/>
              <w:rPr>
                <w:rFonts w:hint="eastAsia" w:ascii="宋体" w:hAnsi="宋体" w:eastAsia="微软雅黑" w:cs="宋体"/>
                <w:b/>
                <w:bCs/>
                <w:szCs w:val="21"/>
                <w:lang w:eastAsia="zh-CN"/>
              </w:rPr>
            </w:pPr>
            <w:r>
              <w:rPr>
                <w:rFonts w:hint="eastAsia" w:ascii="宋体" w:hAnsi="宋体" w:cs="宋体"/>
                <w:b/>
                <w:bCs/>
                <w:szCs w:val="21"/>
                <w:lang w:val="en-US" w:eastAsia="zh-CN"/>
              </w:rPr>
              <w:t>一年</w:t>
            </w:r>
          </w:p>
        </w:tc>
      </w:tr>
      <w:tr w14:paraId="23A3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5F497DC">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701" w:type="dxa"/>
            <w:vAlign w:val="center"/>
          </w:tcPr>
          <w:p w14:paraId="6214211F">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14:paraId="09135995">
            <w:pPr>
              <w:spacing w:line="500" w:lineRule="exact"/>
              <w:rPr>
                <w:rFonts w:ascii="宋体" w:hAnsi="宋体" w:cs="宋体"/>
                <w:b/>
                <w:bCs/>
                <w:szCs w:val="21"/>
              </w:rPr>
            </w:pPr>
            <w:r>
              <w:rPr>
                <w:rFonts w:hint="eastAsia" w:ascii="宋体" w:hAnsi="宋体" w:cs="宋体"/>
                <w:b/>
                <w:bCs/>
                <w:szCs w:val="21"/>
              </w:rPr>
              <w:t>付款人：黄山市中医医院</w:t>
            </w:r>
          </w:p>
          <w:p w14:paraId="0BA59AEB">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签订合同后，付至合同金额的 100％； 中标后签订合同前，需将中标金额的 2.5％作为履约保证金汇入医院指定账户，服务期满后无质量问题一次性退还，不计利息</w:t>
            </w:r>
          </w:p>
        </w:tc>
      </w:tr>
      <w:tr w14:paraId="17E6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0DDF59C">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701" w:type="dxa"/>
            <w:vAlign w:val="center"/>
          </w:tcPr>
          <w:p w14:paraId="19033B17">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14:paraId="200E6446">
            <w:pPr>
              <w:spacing w:line="500" w:lineRule="exact"/>
              <w:rPr>
                <w:rFonts w:ascii="宋体" w:hAnsi="宋体" w:cs="宋体"/>
                <w:b/>
                <w:bCs/>
                <w:szCs w:val="21"/>
              </w:rPr>
            </w:pPr>
            <w:r>
              <w:rPr>
                <w:rFonts w:hint="eastAsia" w:ascii="宋体" w:hAnsi="宋体"/>
                <w:b/>
                <w:szCs w:val="21"/>
              </w:rPr>
              <w:t>无</w:t>
            </w:r>
          </w:p>
        </w:tc>
      </w:tr>
    </w:tbl>
    <w:p w14:paraId="6B5740D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592AB"/>
    <w:multiLevelType w:val="singleLevel"/>
    <w:tmpl w:val="11C592AB"/>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23E69"/>
    <w:rsid w:val="33E4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H1"/>
    <w:basedOn w:val="3"/>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7">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1286</Words>
  <Characters>1311</Characters>
  <Lines>0</Lines>
  <Paragraphs>0</Paragraphs>
  <TotalTime>1</TotalTime>
  <ScaleCrop>false</ScaleCrop>
  <LinksUpToDate>false</LinksUpToDate>
  <CharactersWithSpaces>1326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嬴·¥な</cp:lastModifiedBy>
  <dcterms:modified xsi:type="dcterms:W3CDTF">2025-03-21T01:03:02Z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8AE42F1D0B364ED3824BA7F4B86E9874_12</vt:lpwstr>
  </property>
</Properties>
</file>