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EF21D">
      <w:pPr>
        <w:pStyle w:val="15"/>
        <w:rPr>
          <w:rFonts w:hint="eastAsia" w:eastAsia="黑体" w:cs="宋体"/>
          <w:sz w:val="21"/>
          <w:lang w:eastAsia="zh-CN"/>
        </w:rPr>
      </w:pPr>
      <w:r>
        <w:rPr>
          <w:rFonts w:hint="eastAsia"/>
          <w:lang w:val="en-US" w:eastAsia="zh-CN"/>
        </w:rPr>
        <w:t>康复科电子艾灸治疗仪等设备</w:t>
      </w:r>
      <w:r>
        <w:rPr>
          <w:rFonts w:hint="eastAsia"/>
          <w:lang w:eastAsia="zh-CN"/>
        </w:rPr>
        <w:t>采购需求</w:t>
      </w:r>
    </w:p>
    <w:p w14:paraId="75DF1B7A">
      <w:pPr>
        <w:pStyle w:val="2"/>
        <w:keepNext w:val="0"/>
        <w:numPr>
          <w:ilvl w:val="0"/>
          <w:numId w:val="0"/>
        </w:numPr>
        <w:spacing w:line="520" w:lineRule="exact"/>
        <w:rPr>
          <w:rFonts w:hint="eastAsia" w:ascii="宋体" w:hAnsi="宋体"/>
          <w:b/>
          <w:bCs w:val="0"/>
          <w:sz w:val="28"/>
          <w:szCs w:val="28"/>
        </w:rPr>
      </w:pPr>
      <w:r>
        <w:rPr>
          <w:rFonts w:hint="eastAsia" w:ascii="宋体" w:hAnsi="宋体"/>
          <w:b/>
          <w:bCs w:val="0"/>
          <w:sz w:val="28"/>
          <w:szCs w:val="28"/>
          <w:lang w:val="en-US" w:eastAsia="zh-CN"/>
        </w:rPr>
        <w:t>一、</w:t>
      </w:r>
      <w:r>
        <w:rPr>
          <w:rFonts w:hint="eastAsia" w:ascii="宋体" w:hAnsi="宋体"/>
          <w:b/>
          <w:bCs w:val="0"/>
          <w:sz w:val="28"/>
          <w:szCs w:val="28"/>
        </w:rPr>
        <w:t>采购清单及技术要求</w:t>
      </w:r>
    </w:p>
    <w:p w14:paraId="008C2610">
      <w:pPr>
        <w:numPr>
          <w:ilvl w:val="0"/>
          <w:numId w:val="1"/>
        </w:numPr>
        <w:spacing w:line="360" w:lineRule="auto"/>
        <w:ind w:left="422" w:hanging="560" w:hangingChars="200"/>
        <w:rPr>
          <w:rFonts w:hint="eastAsia" w:ascii="仿宋" w:hAnsi="仿宋" w:eastAsia="仿宋" w:cs="Times New Roman"/>
          <w:kern w:val="0"/>
          <w:sz w:val="30"/>
          <w:szCs w:val="30"/>
          <w:lang w:val="en-US" w:eastAsia="zh-CN" w:bidi="ar-SA"/>
        </w:rPr>
      </w:pPr>
      <w:r>
        <w:rPr>
          <w:rFonts w:hint="eastAsia" w:ascii="宋体" w:hAnsi="宋体" w:eastAsia="宋体" w:cs="宋体"/>
          <w:b w:val="0"/>
          <w:bCs w:val="0"/>
          <w:color w:val="auto"/>
          <w:sz w:val="28"/>
          <w:szCs w:val="28"/>
        </w:rPr>
        <w:t>采购设备名称及数量：</w:t>
      </w:r>
    </w:p>
    <w:p w14:paraId="55F733CE">
      <w:pPr>
        <w:numPr>
          <w:ilvl w:val="0"/>
          <w:numId w:val="0"/>
        </w:numPr>
        <w:spacing w:line="360" w:lineRule="auto"/>
        <w:ind w:firstLine="1500" w:firstLineChars="500"/>
        <w:rPr>
          <w:rFonts w:hint="eastAsia" w:ascii="仿宋" w:hAnsi="仿宋" w:eastAsia="仿宋" w:cs="Times New Roman"/>
          <w:kern w:val="0"/>
          <w:sz w:val="30"/>
          <w:szCs w:val="30"/>
          <w:lang w:val="en-US" w:eastAsia="zh-CN" w:bidi="ar-SA"/>
        </w:rPr>
      </w:pPr>
      <w:r>
        <w:rPr>
          <w:rFonts w:hint="eastAsia" w:ascii="仿宋" w:hAnsi="仿宋" w:eastAsia="仿宋" w:cs="Times New Roman"/>
          <w:kern w:val="0"/>
          <w:sz w:val="30"/>
          <w:szCs w:val="30"/>
          <w:lang w:val="en-US" w:eastAsia="zh-CN" w:bidi="ar-SA"/>
        </w:rPr>
        <w:t>电子艾灸治疗仪 7台，2600元/台</w:t>
      </w:r>
    </w:p>
    <w:p w14:paraId="1E5C65C5">
      <w:pPr>
        <w:numPr>
          <w:ilvl w:val="0"/>
          <w:numId w:val="0"/>
        </w:numPr>
        <w:spacing w:line="360" w:lineRule="auto"/>
        <w:ind w:leftChars="-200"/>
        <w:rPr>
          <w:rFonts w:hint="eastAsia" w:ascii="仿宋" w:hAnsi="仿宋" w:eastAsia="仿宋" w:cs="Times New Roman"/>
          <w:kern w:val="0"/>
          <w:sz w:val="30"/>
          <w:szCs w:val="30"/>
          <w:lang w:val="en-US" w:eastAsia="zh-CN" w:bidi="ar-SA"/>
        </w:rPr>
      </w:pPr>
      <w:r>
        <w:rPr>
          <w:rFonts w:hint="eastAsia" w:ascii="仿宋" w:hAnsi="仿宋" w:eastAsia="仿宋" w:cs="Times New Roman"/>
          <w:kern w:val="0"/>
          <w:sz w:val="30"/>
          <w:szCs w:val="30"/>
          <w:lang w:val="en-US" w:eastAsia="zh-CN" w:bidi="ar-SA"/>
        </w:rPr>
        <w:t xml:space="preserve">             电子针灸治疗仪 10台，320元/台</w:t>
      </w:r>
    </w:p>
    <w:p w14:paraId="3B7C832E">
      <w:pPr>
        <w:pStyle w:val="11"/>
        <w:numPr>
          <w:ilvl w:val="0"/>
          <w:numId w:val="1"/>
        </w:numPr>
        <w:rPr>
          <w:rFonts w:hint="eastAsia"/>
        </w:rPr>
      </w:pPr>
      <w:r>
        <w:rPr>
          <w:rFonts w:hint="eastAsia"/>
          <w:lang w:val="en-US" w:eastAsia="zh-CN"/>
        </w:rPr>
        <w:t>技术要求：</w:t>
      </w:r>
    </w:p>
    <w:p w14:paraId="37D26A24">
      <w:pPr>
        <w:numPr>
          <w:ilvl w:val="0"/>
          <w:numId w:val="0"/>
        </w:numPr>
      </w:pP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222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14:paraId="269B01B1">
            <w:pPr>
              <w:spacing w:line="360" w:lineRule="auto"/>
              <w:jc w:val="center"/>
              <w:rPr>
                <w:rFonts w:ascii="宋体" w:hAnsi="宋体"/>
                <w:b/>
                <w:sz w:val="24"/>
              </w:rPr>
            </w:pPr>
            <w:r>
              <w:rPr>
                <w:rFonts w:hint="eastAsia" w:ascii="宋体" w:hAnsi="宋体"/>
                <w:b/>
                <w:sz w:val="24"/>
              </w:rPr>
              <w:t>采购</w:t>
            </w:r>
          </w:p>
          <w:p w14:paraId="22999F9C">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62FC4E9E">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14:paraId="7AE261BA">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361A4A0A">
            <w:pPr>
              <w:spacing w:line="360" w:lineRule="auto"/>
              <w:jc w:val="center"/>
              <w:rPr>
                <w:rFonts w:ascii="宋体" w:hAnsi="宋体"/>
                <w:b/>
                <w:sz w:val="24"/>
              </w:rPr>
            </w:pPr>
            <w:r>
              <w:rPr>
                <w:rFonts w:hint="eastAsia" w:ascii="宋体" w:hAnsi="宋体"/>
                <w:b/>
                <w:sz w:val="24"/>
              </w:rPr>
              <w:t>备 注</w:t>
            </w:r>
          </w:p>
        </w:tc>
      </w:tr>
      <w:tr w14:paraId="74E7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08" w:type="dxa"/>
            <w:tcBorders>
              <w:top w:val="single" w:color="auto" w:sz="4" w:space="0"/>
              <w:left w:val="single" w:color="auto" w:sz="4" w:space="0"/>
              <w:bottom w:val="single" w:color="auto" w:sz="4" w:space="0"/>
              <w:right w:val="single" w:color="auto" w:sz="4" w:space="0"/>
            </w:tcBorders>
          </w:tcPr>
          <w:p w14:paraId="716477C5">
            <w:pPr>
              <w:spacing w:line="360" w:lineRule="auto"/>
              <w:rPr>
                <w:rFonts w:ascii="宋体" w:hAnsi="宋体"/>
                <w:b/>
                <w:color w:val="000000"/>
                <w:szCs w:val="21"/>
                <w:shd w:val="clear" w:color="auto" w:fill="FFFFFF"/>
              </w:rPr>
            </w:pPr>
          </w:p>
          <w:p w14:paraId="1913E3F8">
            <w:pPr>
              <w:spacing w:line="360" w:lineRule="auto"/>
              <w:rPr>
                <w:rFonts w:ascii="宋体" w:hAnsi="宋体"/>
                <w:b/>
                <w:color w:val="000000"/>
                <w:szCs w:val="21"/>
                <w:shd w:val="clear" w:color="auto" w:fill="FFFFFF"/>
              </w:rPr>
            </w:pPr>
            <w:r>
              <w:rPr>
                <w:rFonts w:hint="eastAsia" w:ascii="仿宋" w:hAnsi="仿宋" w:eastAsia="仿宋" w:cs="Times New Roman"/>
                <w:kern w:val="0"/>
                <w:sz w:val="30"/>
                <w:szCs w:val="30"/>
                <w:lang w:val="en-US" w:eastAsia="zh-CN" w:bidi="ar-SA"/>
              </w:rPr>
              <w:t>电子艾灸治疗仪、电子针灸治疗仪</w:t>
            </w:r>
          </w:p>
          <w:p w14:paraId="0DB007E4">
            <w:pPr>
              <w:spacing w:line="360" w:lineRule="auto"/>
              <w:rPr>
                <w:rFonts w:ascii="宋体" w:hAnsi="宋体"/>
                <w:b/>
                <w:bCs/>
                <w:szCs w:val="21"/>
              </w:rPr>
            </w:pPr>
          </w:p>
          <w:p w14:paraId="0567177F">
            <w:pPr>
              <w:spacing w:line="360" w:lineRule="auto"/>
              <w:rPr>
                <w:rFonts w:ascii="宋体" w:hAnsi="宋体"/>
                <w:b/>
                <w:bCs/>
                <w:szCs w:val="21"/>
              </w:rPr>
            </w:pPr>
          </w:p>
          <w:p w14:paraId="03A5EC16">
            <w:pPr>
              <w:spacing w:line="360" w:lineRule="auto"/>
              <w:rPr>
                <w:rFonts w:hint="default" w:ascii="宋体" w:hAnsi="宋体" w:eastAsia="微软雅黑"/>
                <w:b/>
                <w:sz w:val="24"/>
                <w:lang w:val="en-US" w:eastAsia="zh-CN"/>
              </w:rPr>
            </w:pPr>
          </w:p>
        </w:tc>
        <w:tc>
          <w:tcPr>
            <w:tcW w:w="720" w:type="dxa"/>
            <w:tcBorders>
              <w:top w:val="single" w:color="auto" w:sz="4" w:space="0"/>
              <w:left w:val="single" w:color="auto" w:sz="4" w:space="0"/>
              <w:bottom w:val="single" w:color="auto" w:sz="4" w:space="0"/>
              <w:right w:val="single" w:color="auto" w:sz="4" w:space="0"/>
            </w:tcBorders>
          </w:tcPr>
          <w:p w14:paraId="20B33951">
            <w:pPr>
              <w:spacing w:line="360" w:lineRule="auto"/>
              <w:rPr>
                <w:rFonts w:ascii="宋体" w:hAnsi="宋体"/>
                <w:szCs w:val="21"/>
              </w:rPr>
            </w:pPr>
            <w:r>
              <w:rPr>
                <w:rFonts w:hint="eastAsia" w:ascii="宋体" w:hAnsi="宋体"/>
                <w:szCs w:val="21"/>
              </w:rPr>
              <w:t xml:space="preserve"> </w:t>
            </w:r>
          </w:p>
          <w:p w14:paraId="385B6692">
            <w:pPr>
              <w:spacing w:line="360" w:lineRule="auto"/>
              <w:rPr>
                <w:rFonts w:ascii="宋体" w:hAnsi="宋体"/>
                <w:szCs w:val="21"/>
              </w:rPr>
            </w:pPr>
            <w:r>
              <w:rPr>
                <w:rFonts w:hint="eastAsia" w:ascii="仿宋" w:hAnsi="仿宋" w:eastAsia="仿宋" w:cs="Times New Roman"/>
                <w:kern w:val="0"/>
                <w:sz w:val="30"/>
                <w:szCs w:val="30"/>
                <w:lang w:val="en-US" w:eastAsia="zh-CN" w:bidi="ar-SA"/>
              </w:rPr>
              <w:t>电子艾灸治疗仪 7台、电子针灸治疗仪 10台</w:t>
            </w:r>
          </w:p>
          <w:p w14:paraId="36901523">
            <w:pPr>
              <w:spacing w:line="360" w:lineRule="auto"/>
              <w:rPr>
                <w:rFonts w:ascii="宋体" w:hAnsi="宋体"/>
                <w:b/>
                <w:szCs w:val="21"/>
              </w:rPr>
            </w:pPr>
          </w:p>
          <w:p w14:paraId="198FADD0">
            <w:pPr>
              <w:spacing w:line="360" w:lineRule="auto"/>
              <w:rPr>
                <w:rFonts w:ascii="宋体" w:hAnsi="宋体"/>
                <w:b/>
                <w:szCs w:val="21"/>
              </w:rPr>
            </w:pPr>
          </w:p>
          <w:p w14:paraId="7EB574C5">
            <w:pPr>
              <w:spacing w:line="360" w:lineRule="auto"/>
              <w:rPr>
                <w:rFonts w:ascii="宋体" w:hAnsi="宋体"/>
                <w:b/>
                <w:szCs w:val="21"/>
              </w:rPr>
            </w:pPr>
          </w:p>
          <w:p w14:paraId="2E17E7F6">
            <w:pPr>
              <w:spacing w:line="360" w:lineRule="auto"/>
              <w:rPr>
                <w:rFonts w:ascii="宋体" w:hAnsi="宋体"/>
                <w:b/>
                <w:sz w:val="24"/>
              </w:rPr>
            </w:pP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14:paraId="754300CD">
            <w:pPr>
              <w:numPr>
                <w:ilvl w:val="0"/>
                <w:numId w:val="0"/>
              </w:numPr>
              <w:spacing w:line="360" w:lineRule="auto"/>
              <w:rPr>
                <w:rFonts w:hint="eastAsia" w:ascii="宋体" w:hAnsi="宋体"/>
                <w:b/>
                <w:bCs/>
                <w:szCs w:val="28"/>
                <w:lang w:val="en-US" w:eastAsia="zh-CN"/>
              </w:rPr>
            </w:pPr>
            <w:r>
              <w:rPr>
                <w:rFonts w:hint="eastAsia" w:ascii="宋体" w:hAnsi="宋体"/>
                <w:b/>
                <w:bCs/>
                <w:szCs w:val="28"/>
                <w:lang w:val="en-US" w:eastAsia="zh-CN"/>
              </w:rPr>
              <w:t>一、基本要求</w:t>
            </w:r>
          </w:p>
          <w:p w14:paraId="48D4C26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培训：现场培训，在签订合同后在规定时间内按院方要求将设备送达指定地点，设备到货后1周内完成安装；安装调试合格后，安排工程技术人员到现场对院方相关人员进行使用和日常维护保养培训，直至相关人员学会为止。</w:t>
            </w:r>
          </w:p>
          <w:p w14:paraId="11528B76">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2、产品须为合法企业生产，符合国家相关质量标准。</w:t>
            </w:r>
          </w:p>
          <w:p w14:paraId="2B4ED0F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3、投标人投标时必须提供产品彩页或照片以及产品说明、具体的规格型号。保证所提供的产品合格率100%，如出现不符合招标文件要求的产品，无条件退货，并承担相应损失。</w:t>
            </w:r>
          </w:p>
          <w:p w14:paraId="42B65C8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4、售后服务 有专业维修工程师及技术人员，能提供及时的技术支持及售后服务。设备发生故障电话报修时，在2小时内作出响应，24小时到达现场处理，不能现场解决问题时，能提供备用机的需提供备机使用，直到设备修复使用。</w:t>
            </w:r>
            <w:r>
              <w:rPr>
                <w:rFonts w:hint="eastAsia" w:ascii="宋体" w:hAnsi="宋体"/>
                <w:szCs w:val="28"/>
                <w:lang w:val="en-US" w:eastAsia="zh-CN"/>
              </w:rPr>
              <w:br w:type="textWrapping"/>
            </w:r>
            <w:r>
              <w:rPr>
                <w:rFonts w:hint="eastAsia" w:ascii="宋体" w:hAnsi="宋体"/>
                <w:szCs w:val="28"/>
                <w:lang w:val="en-US" w:eastAsia="zh-CN"/>
              </w:rPr>
              <w:t>零配件按市场最底价供应，设备停产后仍保证八年的供应；</w:t>
            </w:r>
          </w:p>
          <w:p w14:paraId="03A4263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5、及时提供设备新功能信息和临床应用的资料；</w:t>
            </w:r>
          </w:p>
          <w:p w14:paraId="08CBBC8C">
            <w:pPr>
              <w:numPr>
                <w:ilvl w:val="0"/>
                <w:numId w:val="0"/>
              </w:numPr>
              <w:spacing w:line="360" w:lineRule="auto"/>
              <w:rPr>
                <w:rFonts w:hint="default" w:ascii="宋体" w:hAnsi="宋体"/>
                <w:szCs w:val="28"/>
                <w:lang w:val="en-US" w:eastAsia="zh-CN"/>
              </w:rPr>
            </w:pPr>
            <w:r>
              <w:rPr>
                <w:rFonts w:hint="eastAsia" w:ascii="宋体" w:hAnsi="宋体"/>
                <w:szCs w:val="28"/>
                <w:lang w:val="en-US" w:eastAsia="zh-CN"/>
              </w:rPr>
              <w:t>6、提供所投产品宣传彩页一套；</w:t>
            </w:r>
          </w:p>
          <w:p w14:paraId="37F21217">
            <w:pPr>
              <w:numPr>
                <w:ilvl w:val="0"/>
                <w:numId w:val="0"/>
              </w:numPr>
              <w:spacing w:line="360" w:lineRule="auto"/>
              <w:rPr>
                <w:rFonts w:hint="eastAsia" w:ascii="宋体" w:hAnsi="宋体"/>
                <w:b/>
                <w:bCs/>
                <w:szCs w:val="28"/>
                <w:lang w:val="en-US" w:eastAsia="zh-CN"/>
              </w:rPr>
            </w:pPr>
            <w:r>
              <w:rPr>
                <w:rFonts w:hint="eastAsia" w:ascii="宋体" w:hAnsi="宋体"/>
                <w:b/>
                <w:bCs/>
                <w:szCs w:val="28"/>
                <w:lang w:val="en-US" w:eastAsia="zh-CN"/>
              </w:rPr>
              <w:t>二、主机技术指标及主要性能参数：</w:t>
            </w:r>
          </w:p>
          <w:p w14:paraId="234BD367">
            <w:pPr>
              <w:numPr>
                <w:ilvl w:val="0"/>
                <w:numId w:val="0"/>
              </w:numPr>
              <w:spacing w:line="360" w:lineRule="auto"/>
              <w:rPr>
                <w:rFonts w:hint="eastAsia" w:ascii="宋体" w:hAnsi="宋体"/>
                <w:b/>
                <w:bCs/>
                <w:szCs w:val="28"/>
                <w:lang w:val="en-US" w:eastAsia="zh-CN"/>
              </w:rPr>
            </w:pPr>
            <w:r>
              <w:rPr>
                <w:rFonts w:hint="eastAsia" w:ascii="宋体" w:hAnsi="宋体"/>
                <w:b/>
                <w:bCs/>
                <w:szCs w:val="28"/>
                <w:lang w:val="en-US" w:eastAsia="zh-CN"/>
              </w:rPr>
              <w:t>（一）电子灸治疗仪</w:t>
            </w:r>
          </w:p>
          <w:p w14:paraId="619C812E">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1、功能要求：通过红光和灸包对人体产生温热作用施灸于人体穴位，用于疾病的预防与治疗。具有电疗、磁疗、热疗、足疗、按摩、药物导入等综合功能；</w:t>
            </w:r>
          </w:p>
          <w:p w14:paraId="2E028109">
            <w:pPr>
              <w:numPr>
                <w:ilvl w:val="0"/>
                <w:numId w:val="0"/>
              </w:numPr>
              <w:spacing w:line="360" w:lineRule="auto"/>
              <w:rPr>
                <w:rFonts w:hint="eastAsia" w:ascii="宋体" w:hAnsi="宋体"/>
                <w:szCs w:val="28"/>
                <w:lang w:val="en-US" w:eastAsia="zh-CN"/>
              </w:rPr>
            </w:pPr>
            <w:r>
              <w:rPr>
                <w:rFonts w:hint="eastAsia" w:ascii="仿宋" w:hAnsi="仿宋" w:eastAsia="仿宋" w:cs="仿宋"/>
                <w:szCs w:val="28"/>
                <w:lang w:val="en-US" w:eastAsia="zh-CN"/>
              </w:rPr>
              <w:t>★</w:t>
            </w:r>
            <w:r>
              <w:rPr>
                <w:rFonts w:hint="eastAsia" w:ascii="宋体" w:hAnsi="宋体"/>
                <w:szCs w:val="28"/>
                <w:lang w:val="en-US" w:eastAsia="zh-CN"/>
              </w:rPr>
              <w:t>2、治疗仪出口温度为50ºC～60ºC可调，温度误差±3ºC，治疗出口温度上限应不大于60ºC；</w:t>
            </w:r>
          </w:p>
          <w:p w14:paraId="4E32B33D">
            <w:pPr>
              <w:numPr>
                <w:ilvl w:val="0"/>
                <w:numId w:val="0"/>
              </w:numPr>
              <w:spacing w:line="360" w:lineRule="auto"/>
              <w:rPr>
                <w:rFonts w:hint="eastAsia" w:ascii="宋体" w:hAnsi="宋体"/>
                <w:szCs w:val="28"/>
                <w:lang w:val="en-US" w:eastAsia="zh-CN"/>
              </w:rPr>
            </w:pPr>
            <w:r>
              <w:rPr>
                <w:rFonts w:hint="eastAsia" w:ascii="仿宋" w:hAnsi="仿宋" w:eastAsia="仿宋" w:cs="仿宋"/>
                <w:szCs w:val="28"/>
                <w:lang w:val="en-US" w:eastAsia="zh-CN"/>
              </w:rPr>
              <w:t>★</w:t>
            </w:r>
            <w:r>
              <w:rPr>
                <w:rFonts w:hint="eastAsia" w:ascii="宋体" w:hAnsi="宋体"/>
                <w:szCs w:val="28"/>
                <w:lang w:val="en-US" w:eastAsia="zh-CN"/>
              </w:rPr>
              <w:t>3、治疗仪应有定时装置，范围应在1min～60min，定时允差为±5%；</w:t>
            </w:r>
          </w:p>
          <w:p w14:paraId="71C7160A">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4、治疗仪工作状态下的噪声不大于60dB（A）；</w:t>
            </w:r>
          </w:p>
          <w:p w14:paraId="7F73D5A8">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5、其他功能</w:t>
            </w:r>
          </w:p>
          <w:p w14:paraId="4F351E7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5.1、应具有手动停止输出的功能；</w:t>
            </w:r>
          </w:p>
          <w:p w14:paraId="6237C524">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5.2、治疗仪在断电再恢复时，不应有任何输出；</w:t>
            </w:r>
          </w:p>
          <w:p w14:paraId="259DF5E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5.3、治疗仪输出时，应有指示功能；</w:t>
            </w:r>
          </w:p>
          <w:p w14:paraId="3717EF5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5.4、治疗仪有恒温超温保护装置，当设定出风口温度为60ºC时，超过60º C报警值超温保护装置启动，会切断输出，并且出风口温度应不高于60ºC；</w:t>
            </w:r>
          </w:p>
          <w:p w14:paraId="6A13AB89">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6、灸头的面积尺寸：灸头的加热面积应不小于250cm²，允差为±5%；</w:t>
            </w:r>
          </w:p>
          <w:p w14:paraId="283A282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7、无烟、无明火、安全、环保；</w:t>
            </w:r>
          </w:p>
          <w:p w14:paraId="1F49D729">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8.红光光谱 </w:t>
            </w:r>
          </w:p>
          <w:p w14:paraId="4ADF21DF">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8.1辐射光谱 600nm～760nm 范围内的辐照度与 200nm～1400nm 范围内的辐照度的比值应不小于 0.8。 </w:t>
            </w:r>
          </w:p>
          <w:p w14:paraId="727BE25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8.2紫外辐射 在有效辐照面上任一点的紫外辐射（波长从 200nm ～ 400nm ），不得超过 1×10 -4 mW/cm²。 </w:t>
            </w:r>
          </w:p>
          <w:p w14:paraId="58BBFAC9">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8.3红外辐射 有效辐射面上任一点的红外辐射（波长从 760nm～1400nm）不得超过 10mW/cm² </w:t>
            </w:r>
          </w:p>
          <w:p w14:paraId="545F0DFD">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8.4有效红光辐照度 设备的有效红光辐照度应符合下列规定： 有效红光辐照度的标称值为 0.19mW/cm²，仪器工作时误差应不大于±25%；有效辐照面积大于 25cm²的情况下，有效红光辐照度的均匀性应大于 0.4；有效红光辐照度的不稳定度应不大于±10%。 </w:t>
            </w:r>
          </w:p>
          <w:p w14:paraId="682EB490">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9.灸包外观及灸包耐温性能 </w:t>
            </w:r>
          </w:p>
          <w:p w14:paraId="74B183AB">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9.1灸包由耐高温牛皮纸制成；纸面应平整不应有折皱、残 缺、斑点、裂口和条痕；切边应整齐洁净。（内含黄金艾绒等灸材物质，不含其他杂质，使用时不发挥药理作用）</w:t>
            </w:r>
          </w:p>
          <w:p w14:paraId="496F2AF8">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9.2在 175℃±5℃的环境下，牛皮纸外壳与内部艾绒均不会燃烧。</w:t>
            </w:r>
          </w:p>
          <w:p w14:paraId="087C9BFD">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★10、配置清单（包含但不限于）：</w:t>
            </w:r>
          </w:p>
          <w:p w14:paraId="2F8E79E0">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10.1主机1个</w:t>
            </w:r>
          </w:p>
          <w:p w14:paraId="4167F75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10.2能量罩1个</w:t>
            </w:r>
          </w:p>
          <w:p w14:paraId="3E7F7E17">
            <w:pPr>
              <w:numPr>
                <w:ilvl w:val="0"/>
                <w:numId w:val="0"/>
              </w:numPr>
              <w:spacing w:line="360" w:lineRule="auto"/>
              <w:rPr>
                <w:rFonts w:hint="eastAsia" w:ascii="宋体" w:hAnsi="宋体"/>
                <w:b/>
                <w:bCs/>
                <w:szCs w:val="28"/>
                <w:lang w:val="en-US" w:eastAsia="zh-CN"/>
              </w:rPr>
            </w:pPr>
            <w:r>
              <w:rPr>
                <w:rFonts w:hint="eastAsia" w:ascii="宋体" w:hAnsi="宋体"/>
                <w:b/>
                <w:bCs/>
                <w:szCs w:val="28"/>
                <w:lang w:val="en-US" w:eastAsia="zh-CN"/>
              </w:rPr>
              <w:t>（二）电子针灸治疗仪</w:t>
            </w:r>
          </w:p>
          <w:p w14:paraId="3A4CCC4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★1、组成：由主机、皮肤电极、皮肤电极导连线或电极针导连线、穴位探测棒和电源适配器组成，输出≥6 路。</w:t>
            </w:r>
          </w:p>
          <w:p w14:paraId="4CF81A8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2、性能参数</w:t>
            </w:r>
          </w:p>
          <w:p w14:paraId="251A11AC">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2★.1 脉冲重复频率 ：1 Hz（±0.5 Hz）～100Hz（±10Hz） 连续可调。</w:t>
            </w:r>
          </w:p>
          <w:p w14:paraId="0E286FDA">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2★.2 脉冲宽度： 0.5ms±0.15ms。</w:t>
            </w:r>
          </w:p>
          <w:p w14:paraId="07D5E0DA">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2.3 连续波在 250Ω负载上输出脉冲幅度 ：10V±20%。</w:t>
            </w:r>
          </w:p>
          <w:p w14:paraId="407FE708">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2.4 输出≥5 种波形，包括连续波、疏密波、间歇波、三角波、锯齿波等。</w:t>
            </w:r>
          </w:p>
          <w:p w14:paraId="79B21FFA">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2.5 250Ω负载上最大输出电流有效值：≤10 m A。</w:t>
            </w:r>
          </w:p>
          <w:p w14:paraId="7CE749A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2.6 具有定时功能，定时范围：(0～60) min±10%。</w:t>
            </w:r>
          </w:p>
          <w:p w14:paraId="201765CD">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3、功能要求</w:t>
            </w:r>
          </w:p>
          <w:p w14:paraId="32DF830C">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★3.1 输出波形可选择。</w:t>
            </w:r>
          </w:p>
          <w:p w14:paraId="1E723419">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3.2 探测穴位。</w:t>
            </w:r>
          </w:p>
          <w:p w14:paraId="23847976">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3.3 针灸治疗、脉冲理疗、代替人工按摩。</w:t>
            </w:r>
          </w:p>
          <w:p w14:paraId="5C889887">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3.4 详细穴位挂图。</w:t>
            </w:r>
          </w:p>
          <w:p w14:paraId="7AAA0A6D">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3.5 定时治疗音乐提示。</w:t>
            </w:r>
          </w:p>
          <w:p w14:paraId="28130EEB">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3.6 开机输出安全保护。</w:t>
            </w:r>
          </w:p>
          <w:p w14:paraId="1AD8C04F">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3.7 输出开路、短路保护功能。</w:t>
            </w:r>
          </w:p>
          <w:p w14:paraId="407EB82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3.8 内置电池、外接 220V 交流稳压电源。</w:t>
            </w:r>
          </w:p>
          <w:p w14:paraId="69D7F95F">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★4、配置清单</w:t>
            </w:r>
          </w:p>
          <w:p w14:paraId="7911E6BC">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4.1 主机1台。</w:t>
            </w:r>
          </w:p>
          <w:p w14:paraId="0040F2B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4.2 配备电源适配器1个。</w:t>
            </w:r>
          </w:p>
          <w:p w14:paraId="52A016A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4.3、输出导线 </w:t>
            </w:r>
            <w:r>
              <w:rPr>
                <w:rFonts w:hint="eastAsia" w:ascii="宋体" w:hAnsi="宋体" w:eastAsia="宋体" w:cs="宋体"/>
                <w:szCs w:val="28"/>
                <w:lang w:val="en-US" w:eastAsia="zh-CN"/>
              </w:rPr>
              <w:t>≧</w:t>
            </w:r>
            <w:r>
              <w:rPr>
                <w:rFonts w:hint="eastAsia" w:ascii="宋体" w:hAnsi="宋体"/>
                <w:szCs w:val="28"/>
                <w:lang w:val="en-US" w:eastAsia="zh-CN"/>
              </w:rPr>
              <w:t>6 根</w:t>
            </w:r>
          </w:p>
          <w:p w14:paraId="1E908B9D">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4.4、皮肤电极 </w:t>
            </w:r>
            <w:r>
              <w:rPr>
                <w:rFonts w:hint="eastAsia" w:ascii="宋体" w:hAnsi="宋体" w:eastAsia="宋体" w:cs="宋体"/>
                <w:szCs w:val="28"/>
                <w:lang w:val="en-US" w:eastAsia="zh-CN"/>
              </w:rPr>
              <w:t>≧</w:t>
            </w:r>
            <w:r>
              <w:rPr>
                <w:rFonts w:hint="eastAsia" w:ascii="宋体" w:hAnsi="宋体"/>
                <w:szCs w:val="28"/>
                <w:lang w:val="en-US" w:eastAsia="zh-CN"/>
              </w:rPr>
              <w:t>6 副</w:t>
            </w:r>
          </w:p>
          <w:p w14:paraId="3D5A570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4.5、毫针电极金属夹 </w:t>
            </w:r>
            <w:r>
              <w:rPr>
                <w:rFonts w:hint="eastAsia" w:ascii="宋体" w:hAnsi="宋体" w:eastAsia="宋体" w:cs="宋体"/>
                <w:szCs w:val="28"/>
                <w:lang w:val="en-US" w:eastAsia="zh-CN"/>
              </w:rPr>
              <w:t>≧</w:t>
            </w:r>
            <w:r>
              <w:rPr>
                <w:rFonts w:hint="eastAsia" w:ascii="宋体" w:hAnsi="宋体"/>
                <w:szCs w:val="28"/>
                <w:lang w:val="en-US" w:eastAsia="zh-CN"/>
              </w:rPr>
              <w:t>6 副</w:t>
            </w:r>
          </w:p>
          <w:p w14:paraId="2E9F4FC5">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三、要求提供的证明材料包括：</w:t>
            </w:r>
          </w:p>
          <w:p w14:paraId="1B666E9C">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1、产品宣传彩页（中文版原件，标注有技术参数）；</w:t>
            </w:r>
          </w:p>
          <w:p w14:paraId="3BD1323F">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2、产品白皮书（中文版）；</w:t>
            </w:r>
          </w:p>
          <w:p w14:paraId="6F055E31">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3、产品使用说明书（中文版）；</w:t>
            </w:r>
          </w:p>
          <w:p w14:paraId="5F95DA1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4、产品检测报告；</w:t>
            </w:r>
          </w:p>
          <w:p w14:paraId="2AB4EE13">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 xml:space="preserve">5、产品注册证； </w:t>
            </w:r>
          </w:p>
          <w:p w14:paraId="05FFDD3E">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6、其它证明材料；</w:t>
            </w:r>
          </w:p>
          <w:p w14:paraId="5B6A5CE9">
            <w:pPr>
              <w:numPr>
                <w:ilvl w:val="0"/>
                <w:numId w:val="0"/>
              </w:numPr>
              <w:spacing w:line="360" w:lineRule="auto"/>
              <w:rPr>
                <w:rFonts w:hint="eastAsia" w:ascii="宋体" w:hAnsi="宋体"/>
                <w:szCs w:val="28"/>
                <w:lang w:val="en-US" w:eastAsia="zh-CN"/>
              </w:rPr>
            </w:pPr>
            <w:r>
              <w:rPr>
                <w:rFonts w:hint="eastAsia" w:ascii="宋体" w:hAnsi="宋体"/>
                <w:szCs w:val="28"/>
                <w:lang w:val="en-US" w:eastAsia="zh-CN"/>
              </w:rPr>
              <w:t>以上六种，需加盖公章，投标人可任意提供其中一种或者几种，但是必须要能证明所投产品的技术指标与标书要求的一致性或者差异，如果有差异，需要在技术参数偏离表中标注清楚。</w:t>
            </w:r>
          </w:p>
          <w:p w14:paraId="7229D8F1">
            <w:pPr>
              <w:numPr>
                <w:ilvl w:val="0"/>
                <w:numId w:val="2"/>
              </w:numPr>
              <w:spacing w:line="360" w:lineRule="auto"/>
              <w:rPr>
                <w:rFonts w:hint="eastAsia" w:ascii="宋体" w:hAnsi="宋体"/>
                <w:szCs w:val="28"/>
                <w:lang w:val="en-US" w:eastAsia="zh-CN"/>
              </w:rPr>
            </w:pPr>
            <w:r>
              <w:rPr>
                <w:rFonts w:hint="eastAsia" w:ascii="宋体" w:hAnsi="宋体"/>
                <w:szCs w:val="28"/>
                <w:lang w:val="en-US" w:eastAsia="zh-CN"/>
              </w:rPr>
              <w:t>质保期≧5年，终身维护。</w:t>
            </w:r>
          </w:p>
          <w:p w14:paraId="10652AB1">
            <w:pPr>
              <w:numPr>
                <w:ilvl w:val="0"/>
                <w:numId w:val="2"/>
              </w:numPr>
              <w:spacing w:line="360" w:lineRule="auto"/>
              <w:rPr>
                <w:rFonts w:hint="eastAsia" w:ascii="宋体" w:hAnsi="宋体"/>
                <w:szCs w:val="28"/>
                <w:lang w:val="en-US" w:eastAsia="zh-CN"/>
              </w:rPr>
            </w:pPr>
            <w:r>
              <w:rPr>
                <w:rFonts w:hint="eastAsia" w:ascii="宋体" w:hAnsi="宋体"/>
                <w:b/>
                <w:bCs/>
                <w:sz w:val="22"/>
                <w:szCs w:val="22"/>
                <w:lang w:val="en-US" w:eastAsia="zh-CN"/>
              </w:rPr>
              <w:t>如设备涉及耗材，请分别报价</w:t>
            </w:r>
            <w:bookmarkStart w:id="0" w:name="_GoBack"/>
            <w:bookmarkEnd w:id="0"/>
          </w:p>
        </w:tc>
        <w:tc>
          <w:tcPr>
            <w:tcW w:w="1080" w:type="dxa"/>
            <w:tcBorders>
              <w:top w:val="single" w:color="auto" w:sz="4" w:space="0"/>
              <w:left w:val="single" w:color="auto" w:sz="4" w:space="0"/>
              <w:bottom w:val="single" w:color="auto" w:sz="4" w:space="0"/>
              <w:right w:val="single" w:color="auto" w:sz="4" w:space="0"/>
            </w:tcBorders>
          </w:tcPr>
          <w:p w14:paraId="4E2E7A16">
            <w:pPr>
              <w:spacing w:line="360" w:lineRule="auto"/>
              <w:rPr>
                <w:rFonts w:ascii="宋体" w:hAnsi="宋体"/>
                <w:szCs w:val="21"/>
              </w:rPr>
            </w:pPr>
          </w:p>
        </w:tc>
      </w:tr>
    </w:tbl>
    <w:p w14:paraId="3755D184">
      <w:pPr>
        <w:spacing w:line="360" w:lineRule="auto"/>
        <w:rPr>
          <w:lang w:bidi="he-IL"/>
        </w:rPr>
      </w:pPr>
    </w:p>
    <w:p w14:paraId="11D54BBD">
      <w:pPr>
        <w:pStyle w:val="16"/>
        <w:spacing w:line="500" w:lineRule="exact"/>
        <w:ind w:firstLine="472" w:firstLineChars="196"/>
        <w:jc w:val="left"/>
        <w:rPr>
          <w:b/>
          <w:sz w:val="24"/>
          <w:szCs w:val="24"/>
        </w:rPr>
      </w:pPr>
      <w:r>
        <w:rPr>
          <w:b/>
          <w:sz w:val="24"/>
          <w:szCs w:val="24"/>
        </w:rPr>
        <w:t xml:space="preserve"> </w:t>
      </w:r>
      <w:r>
        <w:rPr>
          <w:rFonts w:hint="eastAsia"/>
          <w:b/>
          <w:sz w:val="24"/>
          <w:szCs w:val="24"/>
        </w:rPr>
        <w:t>注：</w:t>
      </w:r>
    </w:p>
    <w:p w14:paraId="1C8A92D6">
      <w:pPr>
        <w:pStyle w:val="16"/>
        <w:spacing w:line="500" w:lineRule="exact"/>
        <w:ind w:left="865" w:leftChars="393"/>
        <w:jc w:val="left"/>
        <w:rPr>
          <w:b/>
          <w:szCs w:val="21"/>
        </w:rPr>
      </w:pPr>
      <w:r>
        <w:rPr>
          <w:rFonts w:hint="eastAsia" w:ascii="宋体" w:hAnsi="宋体" w:eastAsia="微软雅黑" w:cs="宋体"/>
          <w:b/>
          <w:bCs/>
          <w:kern w:val="0"/>
          <w:sz w:val="22"/>
          <w:szCs w:val="22"/>
          <w:lang w:val="en-US" w:eastAsia="zh-CN" w:bidi="ar-SA"/>
        </w:rPr>
        <w:t>1、基本要求必须全部满足要求、否则按无效标处理；★项必需全部响应，非★项负偏离</w:t>
      </w:r>
      <w:r>
        <w:rPr>
          <w:rFonts w:hint="default" w:ascii="宋体" w:hAnsi="宋体" w:eastAsia="微软雅黑" w:cs="宋体"/>
          <w:b/>
          <w:bCs/>
          <w:kern w:val="0"/>
          <w:sz w:val="22"/>
          <w:szCs w:val="22"/>
          <w:lang w:val="en-US" w:eastAsia="zh-CN" w:bidi="ar-SA"/>
        </w:rPr>
        <w:t>≤</w:t>
      </w:r>
      <w:r>
        <w:rPr>
          <w:rFonts w:hint="eastAsia" w:ascii="宋体" w:hAnsi="宋体" w:eastAsia="微软雅黑" w:cs="宋体"/>
          <w:b/>
          <w:bCs/>
          <w:kern w:val="0"/>
          <w:sz w:val="22"/>
          <w:szCs w:val="22"/>
          <w:lang w:val="en-US" w:eastAsia="zh-CN" w:bidi="ar-SA"/>
        </w:rPr>
        <w:t>2项，否则按无效标处理；</w:t>
      </w:r>
    </w:p>
    <w:p w14:paraId="1631B698">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14:paraId="7C788410">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14:paraId="592F5C2A">
      <w:pPr>
        <w:spacing w:line="360" w:lineRule="auto"/>
        <w:rPr>
          <w:rFonts w:ascii="宋体" w:hAnsi="宋体" w:cs="宋体"/>
          <w:b/>
          <w:bCs/>
          <w:sz w:val="28"/>
          <w:szCs w:val="28"/>
        </w:rPr>
      </w:pPr>
      <w:r>
        <w:rPr>
          <w:rFonts w:hint="eastAsia" w:ascii="宋体" w:hAnsi="宋体" w:cs="宋体"/>
          <w:b/>
          <w:bCs/>
          <w:sz w:val="28"/>
          <w:szCs w:val="28"/>
        </w:rPr>
        <w:t>二、商务要求</w:t>
      </w:r>
    </w:p>
    <w:p w14:paraId="7E6FCE1B">
      <w:pPr>
        <w:rPr>
          <w:rFonts w:ascii="宋体" w:hAnsi="宋体" w:cs="宋体"/>
          <w:b/>
          <w:bCs/>
          <w:szCs w:val="21"/>
        </w:rPr>
      </w:pPr>
      <w:r>
        <w:rPr>
          <w:rFonts w:hint="eastAsia" w:ascii="宋体" w:hAnsi="宋体" w:cs="宋体"/>
          <w:b/>
          <w:bCs/>
          <w:szCs w:val="21"/>
        </w:rPr>
        <w:t xml:space="preserve">         </w:t>
      </w: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241B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796AB74B">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071FF832">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68EBFDBA">
            <w:pPr>
              <w:jc w:val="center"/>
              <w:rPr>
                <w:rFonts w:ascii="宋体" w:hAnsi="宋体" w:cs="宋体"/>
                <w:b/>
                <w:bCs/>
                <w:szCs w:val="21"/>
              </w:rPr>
            </w:pPr>
            <w:r>
              <w:rPr>
                <w:rFonts w:hint="eastAsia" w:ascii="宋体" w:hAnsi="宋体" w:cs="宋体"/>
                <w:b/>
                <w:bCs/>
                <w:szCs w:val="21"/>
              </w:rPr>
              <w:t>要求</w:t>
            </w:r>
          </w:p>
        </w:tc>
      </w:tr>
      <w:tr w14:paraId="1F68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2673C578">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19B41DB0">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64552848">
            <w:pPr>
              <w:spacing w:line="500" w:lineRule="exact"/>
              <w:rPr>
                <w:rFonts w:ascii="宋体" w:hAnsi="宋体" w:cs="宋体"/>
                <w:b/>
                <w:bCs/>
                <w:szCs w:val="21"/>
              </w:rPr>
            </w:pPr>
            <w:r>
              <w:rPr>
                <w:rFonts w:hint="eastAsia" w:ascii="宋体" w:hAnsi="宋体" w:cs="宋体"/>
                <w:b/>
                <w:bCs/>
                <w:szCs w:val="21"/>
              </w:rPr>
              <w:t>黄山市屯溪区</w:t>
            </w:r>
          </w:p>
        </w:tc>
      </w:tr>
      <w:tr w14:paraId="5EC8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vAlign w:val="center"/>
          </w:tcPr>
          <w:p w14:paraId="4CFDB689">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14:paraId="2BCDB38D">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14:paraId="1DE6F924">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14:paraId="22B6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08568B4C">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14:paraId="0E3A7CF6">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14:paraId="797CABC5">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67FC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38BFB832">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14:paraId="31F89F22">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14:paraId="43A3F0F5">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cs="宋体"/>
                <w:b/>
                <w:bCs/>
                <w:szCs w:val="21"/>
                <w:lang w:val="en-US" w:eastAsia="zh-CN"/>
              </w:rPr>
              <w:t>5</w:t>
            </w:r>
            <w:r>
              <w:rPr>
                <w:rFonts w:hint="eastAsia" w:ascii="宋体" w:hAnsi="宋体" w:cs="宋体"/>
                <w:b/>
                <w:bCs/>
                <w:szCs w:val="21"/>
              </w:rPr>
              <w:t>年</w:t>
            </w:r>
          </w:p>
        </w:tc>
      </w:tr>
      <w:tr w14:paraId="0471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289E3219">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14:paraId="67663189">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14:paraId="3E279112">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3347E942">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090F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758AC41A">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14:paraId="4A45BD76">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14DEEEFF">
            <w:pPr>
              <w:spacing w:line="500" w:lineRule="exact"/>
              <w:rPr>
                <w:rFonts w:ascii="宋体" w:hAnsi="宋体" w:cs="宋体"/>
                <w:b/>
                <w:bCs/>
                <w:szCs w:val="21"/>
              </w:rPr>
            </w:pPr>
            <w:r>
              <w:rPr>
                <w:rFonts w:hint="eastAsia" w:ascii="宋体" w:hAnsi="宋体" w:cs="宋体"/>
                <w:b/>
                <w:bCs/>
                <w:szCs w:val="21"/>
              </w:rPr>
              <w:t>验收合格</w:t>
            </w:r>
          </w:p>
        </w:tc>
      </w:tr>
      <w:tr w14:paraId="298B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716AFEA3">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14:paraId="674CCBAC">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535F2B7D">
            <w:pPr>
              <w:spacing w:line="500" w:lineRule="exact"/>
              <w:rPr>
                <w:rFonts w:ascii="宋体" w:hAnsi="宋体" w:cs="宋体"/>
                <w:b/>
                <w:bCs/>
                <w:szCs w:val="21"/>
              </w:rPr>
            </w:pPr>
            <w:r>
              <w:rPr>
                <w:rFonts w:hint="eastAsia" w:ascii="宋体" w:hAnsi="宋体" w:cs="宋体"/>
                <w:b/>
                <w:bCs/>
                <w:szCs w:val="21"/>
              </w:rPr>
              <w:t>付款人：黄山市中医医院</w:t>
            </w:r>
          </w:p>
          <w:p w14:paraId="7123E344">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r w14:paraId="71B3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vAlign w:val="center"/>
          </w:tcPr>
          <w:p w14:paraId="3F34787D">
            <w:pPr>
              <w:spacing w:line="500" w:lineRule="exact"/>
              <w:jc w:val="center"/>
              <w:rPr>
                <w:rFonts w:ascii="宋体" w:hAnsi="宋体" w:cs="宋体"/>
                <w:b/>
                <w:bCs/>
                <w:szCs w:val="21"/>
              </w:rPr>
            </w:pPr>
            <w:r>
              <w:rPr>
                <w:rFonts w:hint="eastAsia" w:ascii="宋体" w:hAnsi="宋体" w:cs="宋体"/>
                <w:b/>
                <w:bCs/>
                <w:szCs w:val="21"/>
              </w:rPr>
              <w:t>8</w:t>
            </w:r>
          </w:p>
        </w:tc>
        <w:tc>
          <w:tcPr>
            <w:tcW w:w="1668" w:type="dxa"/>
            <w:vAlign w:val="center"/>
          </w:tcPr>
          <w:p w14:paraId="490C1824">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vAlign w:val="center"/>
          </w:tcPr>
          <w:p w14:paraId="4D51879A">
            <w:pPr>
              <w:spacing w:line="500" w:lineRule="exact"/>
              <w:rPr>
                <w:rFonts w:ascii="宋体" w:hAnsi="宋体" w:cs="宋体"/>
                <w:b/>
                <w:bCs/>
                <w:szCs w:val="21"/>
              </w:rPr>
            </w:pPr>
            <w:r>
              <w:rPr>
                <w:rFonts w:hint="eastAsia" w:ascii="宋体" w:hAnsi="宋体"/>
                <w:b/>
                <w:szCs w:val="21"/>
              </w:rPr>
              <w:t>无</w:t>
            </w:r>
          </w:p>
        </w:tc>
      </w:tr>
    </w:tbl>
    <w:p w14:paraId="69D6C864">
      <w:pPr>
        <w:spacing w:line="430" w:lineRule="exact"/>
        <w:jc w:val="left"/>
        <w:rPr>
          <w:rFonts w:hint="eastAsia" w:ascii="宋体" w:hAnsi="宋体" w:cs="宋体"/>
          <w:b/>
          <w:bCs/>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40A92"/>
    <w:multiLevelType w:val="singleLevel"/>
    <w:tmpl w:val="B3740A92"/>
    <w:lvl w:ilvl="0" w:tentative="0">
      <w:start w:val="1"/>
      <w:numFmt w:val="decimal"/>
      <w:suff w:val="nothing"/>
      <w:lvlText w:val="%1、"/>
      <w:lvlJc w:val="left"/>
    </w:lvl>
  </w:abstractNum>
  <w:abstractNum w:abstractNumId="1">
    <w:nsid w:val="40D01F70"/>
    <w:multiLevelType w:val="singleLevel"/>
    <w:tmpl w:val="40D01F7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Tc3M2Y5NzIzMDFlZjAyY2Q4Njk5ODkyYjFjNzBiNTQifQ=="/>
  </w:docVars>
  <w:rsids>
    <w:rsidRoot w:val="00D31D50"/>
    <w:rsid w:val="00323B43"/>
    <w:rsid w:val="003D37D8"/>
    <w:rsid w:val="00426133"/>
    <w:rsid w:val="004358AB"/>
    <w:rsid w:val="008B7726"/>
    <w:rsid w:val="00947D61"/>
    <w:rsid w:val="00D31D50"/>
    <w:rsid w:val="00E215AF"/>
    <w:rsid w:val="01646869"/>
    <w:rsid w:val="016A5229"/>
    <w:rsid w:val="01AE15BA"/>
    <w:rsid w:val="01DF6660"/>
    <w:rsid w:val="0229220C"/>
    <w:rsid w:val="076830F2"/>
    <w:rsid w:val="0AB036AF"/>
    <w:rsid w:val="0D054058"/>
    <w:rsid w:val="0D070E1F"/>
    <w:rsid w:val="0F2729AB"/>
    <w:rsid w:val="119F4FBE"/>
    <w:rsid w:val="13C44C6D"/>
    <w:rsid w:val="145D74FB"/>
    <w:rsid w:val="14E76398"/>
    <w:rsid w:val="15C51757"/>
    <w:rsid w:val="16531D05"/>
    <w:rsid w:val="17DD56F5"/>
    <w:rsid w:val="17F35B20"/>
    <w:rsid w:val="1AC11F06"/>
    <w:rsid w:val="1BE35EAC"/>
    <w:rsid w:val="1D5726AE"/>
    <w:rsid w:val="1F2C580E"/>
    <w:rsid w:val="207F6591"/>
    <w:rsid w:val="27870033"/>
    <w:rsid w:val="28726B0F"/>
    <w:rsid w:val="294545B2"/>
    <w:rsid w:val="2C6F6C49"/>
    <w:rsid w:val="2D910402"/>
    <w:rsid w:val="33DD6AFE"/>
    <w:rsid w:val="38440E18"/>
    <w:rsid w:val="396A4A86"/>
    <w:rsid w:val="3D9C3439"/>
    <w:rsid w:val="3E7436A5"/>
    <w:rsid w:val="3ECE0D6D"/>
    <w:rsid w:val="42B032DA"/>
    <w:rsid w:val="42E40F93"/>
    <w:rsid w:val="433C7E3E"/>
    <w:rsid w:val="450D1577"/>
    <w:rsid w:val="46396545"/>
    <w:rsid w:val="47535CC5"/>
    <w:rsid w:val="4A897A9B"/>
    <w:rsid w:val="4E8F764A"/>
    <w:rsid w:val="58392BD1"/>
    <w:rsid w:val="596507DD"/>
    <w:rsid w:val="5B7200D7"/>
    <w:rsid w:val="5F6D7533"/>
    <w:rsid w:val="611834CF"/>
    <w:rsid w:val="619B1B56"/>
    <w:rsid w:val="64850E7B"/>
    <w:rsid w:val="68E813DF"/>
    <w:rsid w:val="6A4D00F2"/>
    <w:rsid w:val="6AD85679"/>
    <w:rsid w:val="6D9D028D"/>
    <w:rsid w:val="6EE93FC5"/>
    <w:rsid w:val="6FB56409"/>
    <w:rsid w:val="733D6483"/>
    <w:rsid w:val="75EB0D5A"/>
    <w:rsid w:val="76940177"/>
    <w:rsid w:val="77F55179"/>
    <w:rsid w:val="7A515749"/>
    <w:rsid w:val="7CAB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3"/>
    <w:autoRedefine/>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qFormat/>
    <w:uiPriority w:val="0"/>
    <w:pPr>
      <w:keepNext/>
      <w:keepLines/>
      <w:spacing w:before="260" w:after="260" w:line="415"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Plain Text"/>
    <w:basedOn w:val="1"/>
    <w:link w:val="14"/>
    <w:autoRedefine/>
    <w:qFormat/>
    <w:uiPriority w:val="0"/>
    <w:pPr>
      <w:widowControl w:val="0"/>
      <w:adjustRightInd/>
      <w:snapToGrid/>
      <w:spacing w:after="0"/>
      <w:jc w:val="both"/>
    </w:pPr>
    <w:rPr>
      <w:rFonts w:ascii="宋体" w:hAnsi="Courier New" w:eastAsiaTheme="minorEastAsia"/>
      <w:kern w:val="2"/>
      <w:sz w:val="21"/>
    </w:rPr>
  </w:style>
  <w:style w:type="paragraph" w:styleId="8">
    <w:name w:val="Body Text First Indent"/>
    <w:basedOn w:val="1"/>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11">
    <w:name w:val="表格文字"/>
    <w:basedOn w:val="1"/>
    <w:next w:val="5"/>
    <w:qFormat/>
    <w:uiPriority w:val="0"/>
    <w:pPr>
      <w:adjustRightInd w:val="0"/>
      <w:spacing w:line="420" w:lineRule="atLeast"/>
      <w:textAlignment w:val="baseline"/>
    </w:pPr>
    <w:rPr>
      <w:szCs w:val="24"/>
    </w:rPr>
  </w:style>
  <w:style w:type="paragraph" w:customStyle="1" w:styleId="12">
    <w:name w:val="Default"/>
    <w:autoRedefine/>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3">
    <w:name w:val="标题 1 Char"/>
    <w:basedOn w:val="10"/>
    <w:link w:val="2"/>
    <w:autoRedefine/>
    <w:qFormat/>
    <w:uiPriority w:val="0"/>
    <w:rPr>
      <w:rFonts w:ascii="Times New Roman" w:hAnsi="Times New Roman" w:eastAsia="宋体" w:cs="Times New Roman"/>
      <w:b/>
      <w:bCs/>
      <w:kern w:val="44"/>
      <w:sz w:val="44"/>
      <w:szCs w:val="44"/>
    </w:rPr>
  </w:style>
  <w:style w:type="character" w:customStyle="1" w:styleId="14">
    <w:name w:val="纯文本 Char"/>
    <w:basedOn w:val="10"/>
    <w:link w:val="7"/>
    <w:autoRedefine/>
    <w:qFormat/>
    <w:uiPriority w:val="0"/>
    <w:rPr>
      <w:rFonts w:ascii="宋体" w:hAnsi="Courier New" w:eastAsiaTheme="minorEastAsia"/>
      <w:kern w:val="2"/>
      <w:sz w:val="21"/>
    </w:rPr>
  </w:style>
  <w:style w:type="paragraph" w:customStyle="1" w:styleId="15">
    <w:name w:val="H1"/>
    <w:basedOn w:val="3"/>
    <w:next w:val="1"/>
    <w:autoRedefine/>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6">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7">
    <w:name w:val="NormalCharacter"/>
    <w:autoRedefine/>
    <w:semiHidden/>
    <w:qFormat/>
    <w:uiPriority w:val="0"/>
  </w:style>
  <w:style w:type="character" w:customStyle="1" w:styleId="18">
    <w:name w:val="标题 2 Char"/>
    <w:basedOn w:val="10"/>
    <w:link w:val="3"/>
    <w:autoRedefine/>
    <w:semiHidden/>
    <w:qFormat/>
    <w:uiPriority w:val="9"/>
    <w:rPr>
      <w:rFonts w:asciiTheme="majorHAnsi" w:hAnsiTheme="majorHAnsi" w:eastAsiaTheme="majorEastAsia" w:cstheme="majorBidi"/>
      <w:b/>
      <w:bCs/>
      <w:sz w:val="32"/>
      <w:szCs w:val="32"/>
    </w:rPr>
  </w:style>
  <w:style w:type="paragraph" w:customStyle="1" w:styleId="1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2104</Words>
  <Characters>2245</Characters>
  <Lines>16</Lines>
  <Paragraphs>4</Paragraphs>
  <TotalTime>18</TotalTime>
  <ScaleCrop>false</ScaleCrop>
  <LinksUpToDate>false</LinksUpToDate>
  <CharactersWithSpaces>2328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cp:lastPrinted>2022-06-28T02:00:00Z</cp:lastPrinted>
  <dcterms:modified xsi:type="dcterms:W3CDTF">2024-12-05T03:07:02Z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3DF109AC3CFB4825B4DEC4B0F288C6A7</vt:lpwstr>
  </property>
</Properties>
</file>