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hint="eastAsia" w:eastAsia="黑体" w:cs="宋体"/>
          <w:sz w:val="21"/>
          <w:lang w:eastAsia="zh-CN"/>
        </w:rPr>
      </w:pPr>
      <w:r>
        <w:rPr>
          <w:rFonts w:hint="eastAsia"/>
          <w:lang w:val="en-US" w:eastAsia="zh-CN"/>
        </w:rPr>
        <w:t>治疗床</w:t>
      </w:r>
      <w:r>
        <w:rPr>
          <w:rFonts w:hint="eastAsia"/>
          <w:lang w:eastAsia="zh-CN"/>
        </w:rPr>
        <w:t>采购需求</w:t>
      </w:r>
    </w:p>
    <w:p>
      <w:pPr>
        <w:pStyle w:val="2"/>
        <w:keepNext w:val="0"/>
        <w:spacing w:line="520" w:lineRule="exact"/>
        <w:ind w:firstLine="480" w:firstLineChars="200"/>
        <w:rPr>
          <w:lang w:bidi="he-IL"/>
        </w:rPr>
      </w:pPr>
      <w:r>
        <w:rPr>
          <w:rFonts w:hint="eastAsia" w:ascii="宋体" w:hAnsi="宋体"/>
          <w:b w:val="0"/>
          <w:sz w:val="24"/>
        </w:rPr>
        <w:t>一、采购清单及技术要求</w:t>
      </w:r>
    </w:p>
    <w:tbl>
      <w:tblPr>
        <w:tblStyle w:val="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20"/>
        <w:gridCol w:w="61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采购</w:t>
            </w:r>
          </w:p>
          <w:p>
            <w:pPr>
              <w:spacing w:line="360" w:lineRule="auto"/>
              <w:jc w:val="center"/>
              <w:rPr>
                <w:rFonts w:ascii="宋体" w:hAnsi="宋体"/>
                <w:szCs w:val="21"/>
              </w:rPr>
            </w:pPr>
            <w:r>
              <w:rPr>
                <w:rFonts w:hint="eastAsia" w:ascii="宋体" w:hAnsi="宋体"/>
                <w:b/>
                <w:sz w:val="24"/>
              </w:rPr>
              <w:t>品目</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采购数量</w:t>
            </w:r>
          </w:p>
        </w:tc>
        <w:tc>
          <w:tcPr>
            <w:tcW w:w="61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详细参数及性能要求</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10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color w:val="000000"/>
                <w:szCs w:val="21"/>
                <w:shd w:val="clear" w:color="auto" w:fill="FFFFFF"/>
              </w:rPr>
            </w:pPr>
          </w:p>
          <w:p>
            <w:pPr>
              <w:spacing w:line="360" w:lineRule="auto"/>
              <w:rPr>
                <w:rFonts w:ascii="宋体" w:hAnsi="宋体"/>
                <w:b/>
                <w:color w:val="000000"/>
                <w:szCs w:val="21"/>
                <w:shd w:val="clear" w:color="auto" w:fill="FFFFFF"/>
              </w:rPr>
            </w:pPr>
          </w:p>
          <w:p>
            <w:pPr>
              <w:spacing w:line="360" w:lineRule="auto"/>
              <w:rPr>
                <w:rFonts w:ascii="宋体" w:hAnsi="宋体"/>
                <w:b/>
                <w:bCs/>
                <w:szCs w:val="21"/>
              </w:rPr>
            </w:pPr>
          </w:p>
          <w:p>
            <w:pPr>
              <w:spacing w:line="360" w:lineRule="auto"/>
              <w:rPr>
                <w:rFonts w:ascii="宋体" w:hAnsi="宋体"/>
                <w:b/>
                <w:bCs/>
                <w:szCs w:val="21"/>
              </w:rPr>
            </w:pPr>
          </w:p>
          <w:p>
            <w:pPr>
              <w:spacing w:line="360" w:lineRule="auto"/>
              <w:rPr>
                <w:rFonts w:hint="default" w:ascii="宋体" w:hAnsi="宋体" w:eastAsia="微软雅黑"/>
                <w:b/>
                <w:sz w:val="24"/>
                <w:lang w:val="en-US" w:eastAsia="zh-CN"/>
              </w:rPr>
            </w:pPr>
            <w:r>
              <w:rPr>
                <w:rFonts w:hint="eastAsia" w:ascii="宋体" w:hAnsi="宋体"/>
                <w:b/>
                <w:sz w:val="24"/>
                <w:lang w:val="en-US" w:eastAsia="zh-CN"/>
              </w:rPr>
              <w:t>治疗床</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 w:val="24"/>
              </w:rPr>
            </w:pPr>
            <w:r>
              <w:rPr>
                <w:rFonts w:hint="eastAsia" w:ascii="宋体" w:hAnsi="宋体"/>
                <w:b/>
                <w:sz w:val="24"/>
                <w:lang w:val="en-US" w:eastAsia="zh-CN"/>
              </w:rPr>
              <w:t>16张</w:t>
            </w:r>
            <w:r>
              <w:rPr>
                <w:rFonts w:hint="eastAsia" w:ascii="宋体" w:hAnsi="宋体"/>
                <w:b/>
                <w:sz w:val="24"/>
              </w:rPr>
              <w:t xml:space="preserve">           </w:t>
            </w:r>
          </w:p>
        </w:tc>
        <w:tc>
          <w:tcPr>
            <w:tcW w:w="61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bCs/>
                <w:szCs w:val="21"/>
              </w:rPr>
            </w:pPr>
            <w:r>
              <w:rPr>
                <w:rFonts w:hint="eastAsia" w:ascii="宋体" w:hAnsi="宋体"/>
                <w:b/>
                <w:bCs/>
                <w:szCs w:val="21"/>
              </w:rPr>
              <w:t>一、基本要求</w:t>
            </w:r>
          </w:p>
          <w:p>
            <w:pPr>
              <w:numPr>
                <w:ilvl w:val="0"/>
                <w:numId w:val="0"/>
              </w:numPr>
              <w:spacing w:line="276" w:lineRule="auto"/>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val="0"/>
                <w:color w:val="auto"/>
                <w:kern w:val="2"/>
                <w:sz w:val="21"/>
                <w:szCs w:val="21"/>
                <w:lang w:val="en-US" w:eastAsia="zh-CN" w:bidi="ar-SA"/>
              </w:rPr>
              <w:t>基本功能：满足针推科、康复推拿科对患者进行针灸或推拿使用，产品结实耐用。</w:t>
            </w:r>
          </w:p>
          <w:p>
            <w:pPr>
              <w:pStyle w:val="6"/>
              <w:numPr>
                <w:ilvl w:val="0"/>
                <w:numId w:val="0"/>
              </w:numPr>
              <w:spacing w:line="360" w:lineRule="auto"/>
              <w:jc w:val="both"/>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color w:val="auto"/>
                <w:kern w:val="2"/>
                <w:sz w:val="21"/>
                <w:szCs w:val="21"/>
                <w:lang w:val="en-US" w:eastAsia="zh-CN" w:bidi="ar-SA"/>
              </w:rPr>
              <w:t>产品须为合法企业生产，符合国家相关质量标准。</w:t>
            </w:r>
          </w:p>
          <w:p>
            <w:pPr>
              <w:pStyle w:val="6"/>
              <w:numPr>
                <w:ilvl w:val="0"/>
                <w:numId w:val="0"/>
              </w:numPr>
              <w:spacing w:line="360" w:lineRule="auto"/>
              <w:jc w:val="both"/>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3、投标人投标时必须提供产品彩页或照片以及产品说明、具体的规格型号。保证所提供的产品合格率100%，如出现不符合招标文件要求的产品，无条件退货，并承担相应损失。</w:t>
            </w:r>
          </w:p>
          <w:p>
            <w:pPr>
              <w:pStyle w:val="6"/>
              <w:numPr>
                <w:ilvl w:val="0"/>
                <w:numId w:val="0"/>
              </w:numPr>
              <w:spacing w:line="360" w:lineRule="auto"/>
              <w:jc w:val="both"/>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4、售后服务 维修人员在24小时内到达最终用户现场实施维修。单次停机时间不得超过3天，否则做相应的补偿。零配件按市场最底价供应，设备停产后仍保证八年的供应；</w:t>
            </w:r>
          </w:p>
          <w:p>
            <w:pPr>
              <w:numPr>
                <w:ilvl w:val="0"/>
                <w:numId w:val="0"/>
              </w:numPr>
              <w:spacing w:line="360" w:lineRule="auto"/>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5、及时提供设备新功能信息和临床应用的资料；</w:t>
            </w:r>
          </w:p>
          <w:p>
            <w:pPr>
              <w:numPr>
                <w:ilvl w:val="0"/>
                <w:numId w:val="0"/>
              </w:numPr>
              <w:spacing w:line="360" w:lineRule="auto"/>
              <w:rPr>
                <w:rFonts w:hint="default"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6、提供所投产品宣传彩页一套；</w:t>
            </w:r>
          </w:p>
          <w:p>
            <w:pPr>
              <w:tabs>
                <w:tab w:val="left" w:pos="900"/>
              </w:tabs>
              <w:jc w:val="left"/>
              <w:outlineLvl w:val="0"/>
              <w:rPr>
                <w:rFonts w:hint="default" w:ascii="宋体" w:hAnsi="宋体"/>
                <w:b/>
                <w:szCs w:val="21"/>
                <w:lang w:val="en-US" w:eastAsia="zh-CN"/>
              </w:rPr>
            </w:pPr>
            <w:r>
              <w:rPr>
                <w:rFonts w:hint="eastAsia" w:ascii="宋体" w:hAnsi="宋体"/>
                <w:b/>
                <w:bCs/>
                <w:color w:val="auto"/>
                <w:sz w:val="24"/>
                <w:szCs w:val="24"/>
                <w:lang w:eastAsia="zh-CN"/>
              </w:rPr>
              <w:t>二、</w:t>
            </w:r>
            <w:r>
              <w:rPr>
                <w:rFonts w:hint="eastAsia" w:ascii="宋体" w:hAnsi="宋体"/>
                <w:b/>
                <w:bCs/>
                <w:color w:val="auto"/>
                <w:sz w:val="24"/>
                <w:szCs w:val="24"/>
              </w:rPr>
              <w:t>主机技术指标及主要性能参数：</w:t>
            </w:r>
          </w:p>
          <w:p>
            <w:pPr>
              <w:tabs>
                <w:tab w:val="left" w:pos="925"/>
                <w:tab w:val="left" w:pos="2533"/>
              </w:tabs>
              <w:spacing w:before="156" w:line="240" w:lineRule="auto"/>
              <w:ind w:firstLine="220" w:firstLineChars="100"/>
              <w:jc w:val="both"/>
              <w:textAlignment w:val="center"/>
              <w:rPr>
                <w:rFonts w:hint="default" w:ascii="Times New Roman" w:hAnsi="Times New Roman" w:eastAsia="宋体" w:cs="宋体"/>
                <w:sz w:val="21"/>
                <w:lang w:val="en-US" w:eastAsia="zh-CN"/>
              </w:rPr>
            </w:pPr>
            <w:r>
              <w:rPr>
                <w:rFonts w:hint="eastAsia" w:ascii="宋体" w:hAnsi="宋体" w:cs="宋体"/>
                <w:b/>
                <w:szCs w:val="21"/>
              </w:rPr>
              <w:t>★</w:t>
            </w:r>
            <w:r>
              <w:rPr>
                <w:rFonts w:hint="eastAsia" w:ascii="Times New Roman" w:hAnsi="Times New Roman" w:eastAsia="宋体" w:cs="宋体"/>
                <w:sz w:val="21"/>
                <w:lang w:val="en-US" w:eastAsia="zh-CN"/>
              </w:rPr>
              <w:t>1、尺寸：1900×700×800mm（±2mm）（提供证明材料或承诺函）</w:t>
            </w:r>
          </w:p>
          <w:p>
            <w:pPr>
              <w:tabs>
                <w:tab w:val="left" w:pos="925"/>
                <w:tab w:val="left" w:pos="2533"/>
              </w:tabs>
              <w:spacing w:before="156" w:line="240" w:lineRule="auto"/>
              <w:ind w:firstLine="220" w:firstLineChars="100"/>
              <w:jc w:val="both"/>
              <w:textAlignment w:val="center"/>
              <w:rPr>
                <w:rFonts w:hint="eastAsia" w:ascii="Times New Roman" w:hAnsi="Times New Roman" w:eastAsia="宋体" w:cs="宋体"/>
                <w:sz w:val="21"/>
                <w:lang w:val="en-US" w:eastAsia="zh-CN"/>
              </w:rPr>
            </w:pPr>
            <w:r>
              <w:rPr>
                <w:rFonts w:hint="eastAsia" w:ascii="宋体" w:hAnsi="宋体" w:cs="宋体"/>
                <w:b/>
                <w:szCs w:val="21"/>
              </w:rPr>
              <w:t>★</w:t>
            </w:r>
            <w:r>
              <w:rPr>
                <w:rFonts w:hint="eastAsia" w:ascii="Times New Roman" w:hAnsi="Times New Roman" w:eastAsia="宋体" w:cs="宋体"/>
                <w:sz w:val="21"/>
                <w:lang w:val="en-US" w:eastAsia="zh-CN"/>
              </w:rPr>
              <w:t>2、人性化设计的推拿床，具有呼吸孔、肩孔、扶手（含手臂支撑垫）和手机及平板电脑支撑垫。(附图片证明）</w:t>
            </w:r>
          </w:p>
          <w:p>
            <w:pPr>
              <w:numPr>
                <w:ilvl w:val="0"/>
                <w:numId w:val="0"/>
              </w:numPr>
              <w:tabs>
                <w:tab w:val="left" w:pos="925"/>
                <w:tab w:val="left" w:pos="2533"/>
              </w:tabs>
              <w:spacing w:before="156" w:line="240" w:lineRule="auto"/>
              <w:ind w:firstLine="210" w:firstLineChars="100"/>
              <w:jc w:val="both"/>
              <w:textAlignment w:val="center"/>
              <w:rPr>
                <w:rFonts w:hint="eastAsia" w:ascii="Times New Roman" w:hAnsi="Times New Roman" w:eastAsia="宋体" w:cs="宋体"/>
                <w:sz w:val="21"/>
                <w:lang w:val="en-US" w:eastAsia="zh-CN"/>
              </w:rPr>
            </w:pPr>
            <w:r>
              <w:rPr>
                <w:rFonts w:hint="eastAsia" w:ascii="Times New Roman" w:hAnsi="Times New Roman" w:eastAsia="宋体" w:cs="宋体"/>
                <w:sz w:val="21"/>
                <w:lang w:val="en-US" w:eastAsia="zh-CN"/>
              </w:rPr>
              <w:t>3、诊疗床最大承载重量：≥200kg</w:t>
            </w:r>
          </w:p>
          <w:p>
            <w:pPr>
              <w:numPr>
                <w:ilvl w:val="0"/>
                <w:numId w:val="0"/>
              </w:numPr>
              <w:tabs>
                <w:tab w:val="left" w:pos="925"/>
                <w:tab w:val="left" w:pos="2533"/>
              </w:tabs>
              <w:spacing w:before="156" w:line="240" w:lineRule="auto"/>
              <w:ind w:firstLine="220" w:firstLineChars="100"/>
              <w:jc w:val="both"/>
              <w:textAlignment w:val="center"/>
              <w:rPr>
                <w:rFonts w:hint="eastAsia" w:ascii="Times New Roman" w:hAnsi="Times New Roman" w:eastAsia="宋体" w:cs="宋体"/>
                <w:sz w:val="21"/>
                <w:lang w:val="en-US" w:eastAsia="zh-CN"/>
              </w:rPr>
            </w:pPr>
            <w:r>
              <w:rPr>
                <w:rFonts w:hint="eastAsia" w:ascii="宋体" w:hAnsi="宋体" w:cs="宋体"/>
                <w:b/>
                <w:szCs w:val="21"/>
                <w:lang w:val="en-US" w:eastAsia="zh-CN"/>
              </w:rPr>
              <w:t>4</w:t>
            </w:r>
            <w:r>
              <w:rPr>
                <w:rFonts w:hint="eastAsia" w:ascii="Times New Roman" w:hAnsi="Times New Roman" w:eastAsia="宋体" w:cs="宋体"/>
                <w:sz w:val="21"/>
                <w:lang w:val="en-US" w:eastAsia="zh-CN"/>
              </w:rPr>
              <w:t>、材质要求：整体不锈钢烤漆架+钢架腿，床垫PU+高密度高回弹海绵。</w:t>
            </w:r>
          </w:p>
          <w:p>
            <w:pPr>
              <w:tabs>
                <w:tab w:val="left" w:pos="925"/>
                <w:tab w:val="left" w:pos="2533"/>
              </w:tabs>
              <w:spacing w:before="156" w:line="240" w:lineRule="auto"/>
              <w:ind w:firstLine="210" w:firstLineChars="100"/>
              <w:jc w:val="both"/>
              <w:textAlignment w:val="center"/>
              <w:rPr>
                <w:rFonts w:hint="eastAsia" w:ascii="Times New Roman" w:hAnsi="Times New Roman" w:eastAsia="宋体" w:cs="宋体"/>
                <w:sz w:val="21"/>
                <w:lang w:val="en-US" w:eastAsia="zh-CN"/>
              </w:rPr>
            </w:pPr>
            <w:r>
              <w:rPr>
                <w:rFonts w:hint="eastAsia" w:ascii="Times New Roman" w:hAnsi="Times New Roman" w:eastAsia="宋体" w:cs="宋体"/>
                <w:sz w:val="21"/>
                <w:lang w:val="en-US" w:eastAsia="zh-CN"/>
              </w:rPr>
              <w:t>5、床面采用优质医疗专用皮革，环保、防潮、阻燃，方便清洁，无火灾隐患。</w:t>
            </w:r>
          </w:p>
          <w:p>
            <w:pPr>
              <w:numPr>
                <w:ilvl w:val="0"/>
                <w:numId w:val="0"/>
              </w:numPr>
              <w:tabs>
                <w:tab w:val="left" w:pos="925"/>
                <w:tab w:val="left" w:pos="2533"/>
              </w:tabs>
              <w:spacing w:before="156" w:line="240" w:lineRule="auto"/>
              <w:ind w:firstLine="420" w:firstLineChars="200"/>
              <w:jc w:val="both"/>
              <w:textAlignment w:val="center"/>
              <w:rPr>
                <w:rFonts w:hint="default" w:ascii="Times New Roman" w:hAnsi="Times New Roman" w:eastAsia="宋体" w:cs="宋体"/>
                <w:sz w:val="21"/>
                <w:lang w:val="en-US" w:eastAsia="zh-CN"/>
              </w:rPr>
            </w:pPr>
            <w:r>
              <w:rPr>
                <w:rFonts w:hint="eastAsia" w:ascii="Times New Roman" w:hAnsi="Times New Roman" w:eastAsia="宋体" w:cs="宋体"/>
                <w:sz w:val="21"/>
                <w:lang w:val="en-US" w:eastAsia="zh-CN"/>
              </w:rPr>
              <w:t>6、为保证治疗床的稳定性，治疗床钢架腿≥6根，且每个钢架腿之间均有钢架相连。(附图片证明）</w:t>
            </w:r>
            <w:bookmarkStart w:id="0" w:name="_GoBack"/>
            <w:bookmarkEnd w:id="0"/>
          </w:p>
          <w:p>
            <w:pPr>
              <w:numPr>
                <w:ilvl w:val="0"/>
                <w:numId w:val="0"/>
              </w:numPr>
              <w:tabs>
                <w:tab w:val="left" w:pos="925"/>
                <w:tab w:val="left" w:pos="2533"/>
              </w:tabs>
              <w:spacing w:before="156" w:line="240" w:lineRule="auto"/>
              <w:ind w:firstLine="420" w:firstLineChars="200"/>
              <w:jc w:val="both"/>
              <w:textAlignment w:val="center"/>
              <w:rPr>
                <w:rFonts w:hint="eastAsia" w:ascii="Times New Roman" w:hAnsi="Times New Roman" w:eastAsia="宋体" w:cs="宋体"/>
                <w:sz w:val="21"/>
                <w:lang w:val="en-US" w:eastAsia="zh-CN"/>
              </w:rPr>
            </w:pPr>
            <w:r>
              <w:rPr>
                <w:rFonts w:hint="eastAsia" w:ascii="Times New Roman" w:hAnsi="Times New Roman" w:eastAsia="宋体" w:cs="宋体"/>
                <w:sz w:val="21"/>
                <w:lang w:val="en-US" w:eastAsia="zh-CN"/>
              </w:rPr>
              <w:t>6、具有医疗器械备案凭证或注册证。（提供证明文件）</w:t>
            </w:r>
          </w:p>
          <w:p>
            <w:pPr>
              <w:numPr>
                <w:ilvl w:val="0"/>
                <w:numId w:val="0"/>
              </w:numPr>
              <w:tabs>
                <w:tab w:val="left" w:pos="925"/>
                <w:tab w:val="left" w:pos="2533"/>
              </w:tabs>
              <w:spacing w:before="156" w:line="240" w:lineRule="auto"/>
              <w:ind w:firstLine="420" w:firstLineChars="200"/>
              <w:jc w:val="both"/>
              <w:textAlignment w:val="center"/>
              <w:rPr>
                <w:rFonts w:hint="eastAsia" w:ascii="Times New Roman" w:hAnsi="Times New Roman" w:eastAsia="宋体" w:cs="宋体"/>
                <w:sz w:val="21"/>
                <w:lang w:val="en-US" w:eastAsia="zh-CN"/>
              </w:rPr>
            </w:pPr>
            <w:r>
              <w:rPr>
                <w:rFonts w:hint="eastAsia" w:ascii="Times New Roman" w:hAnsi="Times New Roman" w:eastAsia="宋体" w:cs="宋体"/>
                <w:sz w:val="21"/>
                <w:lang w:val="en-US" w:eastAsia="zh-CN"/>
              </w:rPr>
              <w:t>7、承诺中标后生产厂家提供售后服务。（提供承诺函）。</w:t>
            </w:r>
          </w:p>
          <w:p>
            <w:pPr>
              <w:numPr>
                <w:ilvl w:val="0"/>
                <w:numId w:val="0"/>
              </w:numPr>
              <w:tabs>
                <w:tab w:val="left" w:pos="925"/>
                <w:tab w:val="left" w:pos="2533"/>
              </w:tabs>
              <w:spacing w:before="156" w:line="240" w:lineRule="auto"/>
              <w:ind w:firstLine="420" w:firstLineChars="200"/>
              <w:jc w:val="both"/>
              <w:textAlignment w:val="center"/>
              <w:rPr>
                <w:rFonts w:hint="default" w:ascii="Times New Roman" w:hAnsi="Times New Roman" w:eastAsia="宋体" w:cs="宋体"/>
                <w:sz w:val="21"/>
                <w:lang w:val="en-US" w:eastAsia="zh-CN"/>
              </w:rPr>
            </w:pPr>
            <w:r>
              <w:rPr>
                <w:rFonts w:hint="eastAsia" w:ascii="Times New Roman" w:hAnsi="Times New Roman" w:eastAsia="宋体" w:cs="宋体"/>
                <w:sz w:val="21"/>
                <w:lang w:val="en-US" w:eastAsia="zh-CN"/>
              </w:rPr>
              <w:t>9、具备</w:t>
            </w:r>
            <w:r>
              <w:rPr>
                <w:rFonts w:hint="eastAsia" w:ascii="Times New Roman" w:hAnsi="Times New Roman" w:eastAsia="宋体" w:cs="宋体"/>
                <w:sz w:val="21"/>
                <w:lang w:eastAsia="zh-CN"/>
              </w:rPr>
              <w:t>ISO9001质量体系认证、ISO13485医疗器械质量体系认证（</w:t>
            </w:r>
            <w:r>
              <w:rPr>
                <w:rFonts w:hint="eastAsia" w:ascii="Times New Roman" w:hAnsi="Times New Roman" w:eastAsia="宋体" w:cs="宋体"/>
                <w:sz w:val="21"/>
                <w:lang w:val="en-US" w:eastAsia="zh-CN"/>
              </w:rPr>
              <w:t>提供证明文件</w:t>
            </w:r>
            <w:r>
              <w:rPr>
                <w:rFonts w:hint="eastAsia" w:ascii="Times New Roman" w:hAnsi="Times New Roman" w:eastAsia="宋体" w:cs="宋体"/>
                <w:sz w:val="21"/>
                <w:lang w:eastAsia="zh-CN"/>
              </w:rPr>
              <w:t>）</w:t>
            </w:r>
          </w:p>
          <w:p>
            <w:pPr>
              <w:spacing w:line="360" w:lineRule="auto"/>
              <w:rPr>
                <w:rFonts w:ascii="宋体" w:hAnsi="宋体"/>
                <w:b/>
                <w:szCs w:val="21"/>
              </w:rPr>
            </w:pPr>
            <w:r>
              <w:rPr>
                <w:rFonts w:hint="eastAsia" w:ascii="宋体" w:hAnsi="宋体"/>
                <w:b/>
                <w:szCs w:val="21"/>
              </w:rPr>
              <w:t>三、要求提供的证明材料包括：</w:t>
            </w:r>
          </w:p>
          <w:p>
            <w:pPr>
              <w:spacing w:line="360" w:lineRule="auto"/>
              <w:ind w:firstLine="110" w:firstLineChars="50"/>
              <w:rPr>
                <w:rFonts w:ascii="宋体" w:hAnsi="宋体"/>
              </w:rPr>
            </w:pPr>
            <w:r>
              <w:rPr>
                <w:rFonts w:hint="eastAsia" w:ascii="宋体" w:hAnsi="宋体"/>
              </w:rPr>
              <w:t>1、产品宣传彩页（中文版原件，标注有技术参数）；</w:t>
            </w:r>
          </w:p>
          <w:p>
            <w:pPr>
              <w:spacing w:line="360" w:lineRule="auto"/>
              <w:ind w:firstLine="110" w:firstLineChars="50"/>
              <w:rPr>
                <w:rFonts w:ascii="宋体" w:hAnsi="宋体"/>
              </w:rPr>
            </w:pPr>
            <w:r>
              <w:rPr>
                <w:rFonts w:hint="eastAsia" w:ascii="宋体" w:hAnsi="宋体"/>
              </w:rPr>
              <w:t>2、产品白皮书（中文版）；</w:t>
            </w:r>
          </w:p>
          <w:p>
            <w:pPr>
              <w:spacing w:line="360" w:lineRule="auto"/>
              <w:ind w:firstLine="110" w:firstLineChars="50"/>
              <w:rPr>
                <w:rFonts w:ascii="宋体" w:hAnsi="宋体"/>
              </w:rPr>
            </w:pPr>
            <w:r>
              <w:rPr>
                <w:rFonts w:hint="eastAsia" w:ascii="宋体" w:hAnsi="宋体"/>
              </w:rPr>
              <w:t>3、产品使用说明书（中文版）；</w:t>
            </w:r>
          </w:p>
          <w:p>
            <w:pPr>
              <w:spacing w:line="360" w:lineRule="auto"/>
              <w:ind w:firstLine="110" w:firstLineChars="50"/>
              <w:rPr>
                <w:rFonts w:ascii="宋体" w:hAnsi="宋体"/>
              </w:rPr>
            </w:pPr>
            <w:r>
              <w:rPr>
                <w:rFonts w:hint="eastAsia" w:ascii="宋体" w:hAnsi="宋体"/>
              </w:rPr>
              <w:t>4、产品检测报告；</w:t>
            </w:r>
          </w:p>
          <w:p>
            <w:pPr>
              <w:spacing w:line="360" w:lineRule="auto"/>
              <w:ind w:firstLine="110" w:firstLineChars="50"/>
              <w:rPr>
                <w:rFonts w:hint="eastAsia" w:ascii="宋体" w:hAnsi="宋体"/>
              </w:rPr>
            </w:pPr>
            <w:r>
              <w:rPr>
                <w:rFonts w:hint="eastAsia" w:ascii="宋体" w:hAnsi="宋体"/>
              </w:rPr>
              <w:t xml:space="preserve">5、产品注册证； </w:t>
            </w:r>
          </w:p>
          <w:p>
            <w:pPr>
              <w:spacing w:line="360" w:lineRule="auto"/>
              <w:ind w:firstLine="110" w:firstLineChars="50"/>
              <w:rPr>
                <w:rFonts w:hint="eastAsia" w:ascii="宋体" w:hAnsi="宋体" w:eastAsia="微软雅黑"/>
                <w:lang w:val="en-US" w:eastAsia="zh-CN"/>
              </w:rPr>
            </w:pPr>
            <w:r>
              <w:rPr>
                <w:rFonts w:hint="eastAsia" w:ascii="宋体" w:hAnsi="宋体"/>
                <w:lang w:val="en-US" w:eastAsia="zh-CN"/>
              </w:rPr>
              <w:t>6、其它证明材料；</w:t>
            </w:r>
          </w:p>
          <w:p>
            <w:pPr>
              <w:spacing w:line="360" w:lineRule="auto"/>
              <w:ind w:firstLine="431" w:firstLineChars="196"/>
              <w:rPr>
                <w:rFonts w:ascii="宋体" w:hAnsi="宋体"/>
                <w:b/>
              </w:rPr>
            </w:pPr>
            <w:r>
              <w:rPr>
                <w:rFonts w:hint="eastAsia" w:ascii="宋体" w:hAnsi="宋体"/>
                <w:b/>
              </w:rPr>
              <w:t>以上</w:t>
            </w:r>
            <w:r>
              <w:rPr>
                <w:rFonts w:hint="eastAsia" w:ascii="宋体" w:hAnsi="宋体"/>
                <w:b/>
                <w:lang w:eastAsia="zh-CN"/>
              </w:rPr>
              <w:t>六</w:t>
            </w:r>
            <w:r>
              <w:rPr>
                <w:rFonts w:hint="eastAsia" w:ascii="宋体" w:hAnsi="宋体"/>
                <w:b/>
              </w:rPr>
              <w:t>种，需加盖公章，投标人可任意提供其中一种或者几种，但是必须要能证明所投产品的技术指标与标书要求的一致性或者差异，如果有差异，需要在技术参数偏离表中标注清楚。</w:t>
            </w:r>
          </w:p>
          <w:p>
            <w:pPr>
              <w:spacing w:line="360" w:lineRule="auto"/>
              <w:rPr>
                <w:rFonts w:ascii="宋体" w:hAnsi="宋体" w:cs="仿宋"/>
                <w:b/>
                <w:szCs w:val="21"/>
              </w:rPr>
            </w:pPr>
            <w:r>
              <w:rPr>
                <w:rFonts w:hint="eastAsia" w:ascii="宋体" w:hAnsi="宋体"/>
                <w:b/>
                <w:szCs w:val="21"/>
              </w:rPr>
              <w:t>四、质保</w:t>
            </w:r>
            <w:r>
              <w:rPr>
                <w:rFonts w:hint="eastAsia" w:ascii="宋体" w:hAnsi="宋体"/>
                <w:b/>
              </w:rPr>
              <w:t>期≧</w:t>
            </w:r>
            <w:r>
              <w:rPr>
                <w:rFonts w:hint="eastAsia" w:ascii="宋体" w:hAnsi="宋体"/>
                <w:b/>
                <w:lang w:val="en-US" w:eastAsia="zh-CN"/>
              </w:rPr>
              <w:t>5</w:t>
            </w:r>
            <w:r>
              <w:rPr>
                <w:rFonts w:hint="eastAsia" w:ascii="宋体" w:hAnsi="宋体"/>
                <w:b/>
              </w:rPr>
              <w:t>年</w:t>
            </w:r>
            <w:r>
              <w:rPr>
                <w:rFonts w:hint="eastAsia" w:ascii="宋体" w:hAnsi="宋体"/>
                <w:b/>
                <w:szCs w:val="21"/>
              </w:rPr>
              <w:t>，终身维护。如设备涉及耗材，请分别报价；</w:t>
            </w: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r>
    </w:tbl>
    <w:p>
      <w:pPr>
        <w:spacing w:line="360" w:lineRule="auto"/>
        <w:rPr>
          <w:lang w:bidi="he-IL"/>
        </w:rPr>
      </w:pPr>
    </w:p>
    <w:p>
      <w:pPr>
        <w:pStyle w:val="13"/>
        <w:spacing w:line="500" w:lineRule="exact"/>
        <w:ind w:firstLine="472" w:firstLineChars="196"/>
        <w:jc w:val="left"/>
        <w:rPr>
          <w:b/>
          <w:sz w:val="24"/>
          <w:szCs w:val="24"/>
        </w:rPr>
      </w:pPr>
      <w:r>
        <w:rPr>
          <w:b/>
          <w:sz w:val="24"/>
          <w:szCs w:val="24"/>
        </w:rPr>
        <w:t xml:space="preserve"> </w:t>
      </w:r>
      <w:r>
        <w:rPr>
          <w:rFonts w:hint="eastAsia"/>
          <w:b/>
          <w:sz w:val="24"/>
          <w:szCs w:val="24"/>
        </w:rPr>
        <w:t>注：</w:t>
      </w:r>
    </w:p>
    <w:p>
      <w:pPr>
        <w:pStyle w:val="13"/>
        <w:spacing w:line="500" w:lineRule="exact"/>
        <w:ind w:left="865" w:leftChars="393"/>
        <w:jc w:val="left"/>
        <w:rPr>
          <w:b/>
          <w:szCs w:val="21"/>
        </w:rPr>
      </w:pPr>
      <w:r>
        <w:rPr>
          <w:b/>
          <w:szCs w:val="21"/>
        </w:rPr>
        <w:t>1</w:t>
      </w:r>
      <w:r>
        <w:rPr>
          <w:rFonts w:hint="eastAsia"/>
          <w:b/>
          <w:szCs w:val="21"/>
        </w:rPr>
        <w:t>、</w:t>
      </w:r>
      <w:r>
        <w:rPr>
          <w:rStyle w:val="14"/>
          <w:rFonts w:hint="eastAsia" w:ascii="宋体" w:hAnsi="宋体" w:cs="宋体"/>
          <w:b/>
        </w:rPr>
        <w:t>基本要求必须全部满足要求、否则按无效标处理；</w:t>
      </w:r>
      <w:r>
        <w:rPr>
          <w:rFonts w:hint="eastAsia" w:ascii="宋体" w:hAnsi="宋体" w:cs="宋体"/>
          <w:b/>
          <w:szCs w:val="21"/>
        </w:rPr>
        <w:t>★项</w:t>
      </w:r>
      <w:r>
        <w:rPr>
          <w:rFonts w:hint="eastAsia" w:ascii="宋体" w:hAnsi="宋体" w:cs="宋体"/>
          <w:b/>
          <w:szCs w:val="21"/>
          <w:lang w:val="en-US" w:eastAsia="zh-CN"/>
        </w:rPr>
        <w:t>及</w:t>
      </w:r>
      <w:r>
        <w:rPr>
          <w:rFonts w:hint="eastAsia" w:ascii="宋体" w:hAnsi="宋体" w:cs="宋体"/>
          <w:b/>
          <w:szCs w:val="21"/>
        </w:rPr>
        <w:t>非★项必需全部响应</w:t>
      </w:r>
      <w:r>
        <w:rPr>
          <w:rFonts w:hint="eastAsia" w:ascii="宋体" w:hAnsi="宋体" w:cs="宋体"/>
          <w:b/>
          <w:szCs w:val="21"/>
          <w:lang w:eastAsia="zh-CN"/>
        </w:rPr>
        <w:t>，</w:t>
      </w:r>
      <w:r>
        <w:rPr>
          <w:rFonts w:hint="eastAsia" w:ascii="宋体" w:hAnsi="宋体" w:cs="宋体"/>
          <w:b/>
          <w:szCs w:val="21"/>
        </w:rPr>
        <w:t>否则按无效标处理</w:t>
      </w:r>
      <w:r>
        <w:rPr>
          <w:rFonts w:hint="eastAsia" w:hAnsi="宋体"/>
          <w:b/>
          <w:szCs w:val="21"/>
        </w:rPr>
        <w:t>；</w:t>
      </w:r>
    </w:p>
    <w:p>
      <w:pPr>
        <w:spacing w:line="360" w:lineRule="auto"/>
        <w:ind w:left="871" w:leftChars="396"/>
        <w:rPr>
          <w:rFonts w:ascii="宋体"/>
          <w:b/>
          <w:bCs/>
        </w:rPr>
      </w:pPr>
      <w:r>
        <w:rPr>
          <w:rFonts w:ascii="宋体" w:hAnsi="宋体" w:cs="宋体"/>
          <w:b/>
          <w:bCs/>
        </w:rPr>
        <w:t>2</w:t>
      </w:r>
      <w:r>
        <w:rPr>
          <w:rFonts w:hint="eastAsia" w:ascii="宋体" w:hAnsi="宋体" w:cs="宋体"/>
          <w:b/>
          <w:bCs/>
        </w:rPr>
        <w:t>、投标人应对招标文件中的技术指标逐条进行响应，在技术规范响应表中必须正面回答产品所有技术指标的响应情况。</w:t>
      </w:r>
      <w:r>
        <w:rPr>
          <w:rFonts w:hint="eastAsia" w:ascii="宋体" w:hAnsi="宋体" w:cs="宋体"/>
          <w:b/>
          <w:bCs/>
          <w:color w:val="FF0000"/>
        </w:rPr>
        <w:t>标记“★”的重要技术参数，需附证明材料、标明所在页码，并在证明材料中标识清楚（划线或画圈）</w:t>
      </w:r>
      <w:r>
        <w:rPr>
          <w:rFonts w:hint="eastAsia" w:ascii="宋体" w:hAnsi="宋体" w:cs="宋体"/>
          <w:b/>
          <w:bCs/>
          <w:color w:val="FF6600"/>
        </w:rPr>
        <w:t>，</w:t>
      </w:r>
      <w:r>
        <w:rPr>
          <w:rFonts w:hint="eastAsia" w:ascii="宋体" w:hAnsi="宋体" w:cs="宋体"/>
          <w:b/>
          <w:bCs/>
        </w:rPr>
        <w:t>否则，评标委员会有权视其不响应；</w:t>
      </w:r>
    </w:p>
    <w:p>
      <w:pPr>
        <w:spacing w:line="360" w:lineRule="auto"/>
        <w:ind w:firstLine="878" w:firstLineChars="399"/>
        <w:rPr>
          <w:rFonts w:hint="eastAsia" w:ascii="宋体" w:hAnsi="宋体" w:cs="宋体"/>
          <w:b/>
          <w:bCs/>
        </w:rPr>
      </w:pPr>
      <w:r>
        <w:rPr>
          <w:rFonts w:ascii="宋体" w:hAnsi="宋体" w:cs="宋体"/>
          <w:b/>
          <w:bCs/>
        </w:rPr>
        <w:t>3</w:t>
      </w:r>
      <w:r>
        <w:rPr>
          <w:rFonts w:hint="eastAsia" w:ascii="宋体" w:hAnsi="宋体" w:cs="宋体"/>
          <w:b/>
          <w:bCs/>
        </w:rPr>
        <w:t>、如验收时发现有虚假应标，将上报监管部门。</w:t>
      </w:r>
    </w:p>
    <w:p>
      <w:pPr>
        <w:rPr>
          <w:rFonts w:ascii="宋体" w:hAnsi="宋体" w:cs="宋体"/>
          <w:b/>
          <w:bCs/>
          <w:szCs w:val="21"/>
        </w:rPr>
      </w:pPr>
      <w:r>
        <w:rPr>
          <w:rFonts w:hint="eastAsia" w:ascii="宋体" w:hAnsi="宋体" w:cs="宋体"/>
          <w:b/>
          <w:bCs/>
          <w:szCs w:val="21"/>
        </w:rPr>
        <w:t>二、商务要求</w:t>
      </w:r>
    </w:p>
    <w:p>
      <w:pPr>
        <w:rPr>
          <w:rFonts w:ascii="宋体" w:hAnsi="宋体" w:cs="宋体"/>
          <w:b/>
          <w:bCs/>
          <w:szCs w:val="21"/>
        </w:rPr>
      </w:pPr>
      <w:r>
        <w:rPr>
          <w:rFonts w:hint="eastAsia" w:ascii="宋体" w:hAnsi="宋体" w:cs="宋体"/>
          <w:b/>
          <w:bCs/>
          <w:szCs w:val="21"/>
        </w:rPr>
        <w:t xml:space="preserve">         </w:t>
      </w:r>
    </w:p>
    <w:tbl>
      <w:tblPr>
        <w:tblStyle w:val="7"/>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68"/>
        <w:gridCol w:w="6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96" w:type="dxa"/>
            <w:vAlign w:val="center"/>
          </w:tcPr>
          <w:p>
            <w:pPr>
              <w:jc w:val="center"/>
              <w:rPr>
                <w:rFonts w:ascii="宋体" w:hAnsi="宋体" w:cs="宋体"/>
                <w:b/>
                <w:bCs/>
                <w:szCs w:val="21"/>
              </w:rPr>
            </w:pPr>
            <w:r>
              <w:rPr>
                <w:rFonts w:hint="eastAsia" w:ascii="宋体" w:hAnsi="宋体" w:cs="宋体"/>
                <w:b/>
                <w:bCs/>
                <w:szCs w:val="21"/>
              </w:rPr>
              <w:t>序号</w:t>
            </w:r>
          </w:p>
        </w:tc>
        <w:tc>
          <w:tcPr>
            <w:tcW w:w="1668" w:type="dxa"/>
            <w:vAlign w:val="center"/>
          </w:tcPr>
          <w:p>
            <w:pPr>
              <w:jc w:val="center"/>
              <w:rPr>
                <w:rFonts w:ascii="宋体" w:hAnsi="宋体" w:cs="宋体"/>
                <w:b/>
                <w:bCs/>
                <w:szCs w:val="21"/>
              </w:rPr>
            </w:pPr>
            <w:r>
              <w:rPr>
                <w:rFonts w:hint="eastAsia" w:ascii="宋体" w:hAnsi="宋体" w:cs="宋体"/>
                <w:b/>
                <w:bCs/>
                <w:szCs w:val="21"/>
              </w:rPr>
              <w:t>内容</w:t>
            </w:r>
          </w:p>
        </w:tc>
        <w:tc>
          <w:tcPr>
            <w:tcW w:w="6175" w:type="dxa"/>
            <w:vAlign w:val="center"/>
          </w:tcPr>
          <w:p>
            <w:pPr>
              <w:jc w:val="center"/>
              <w:rPr>
                <w:rFonts w:ascii="宋体" w:hAnsi="宋体" w:cs="宋体"/>
                <w:b/>
                <w:bCs/>
                <w:szCs w:val="21"/>
              </w:rPr>
            </w:pPr>
            <w:r>
              <w:rPr>
                <w:rFonts w:hint="eastAsia" w:ascii="宋体" w:hAnsi="宋体" w:cs="宋体"/>
                <w:b/>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96" w:type="dxa"/>
            <w:vAlign w:val="center"/>
          </w:tcPr>
          <w:p>
            <w:pPr>
              <w:spacing w:line="500" w:lineRule="exact"/>
              <w:jc w:val="center"/>
              <w:rPr>
                <w:rFonts w:ascii="宋体" w:hAnsi="宋体" w:cs="宋体"/>
                <w:b/>
                <w:bCs/>
                <w:szCs w:val="21"/>
              </w:rPr>
            </w:pPr>
            <w:r>
              <w:rPr>
                <w:rFonts w:hint="eastAsia" w:ascii="宋体" w:hAnsi="宋体" w:cs="宋体"/>
                <w:b/>
                <w:bCs/>
                <w:szCs w:val="21"/>
              </w:rPr>
              <w:t>1</w:t>
            </w:r>
          </w:p>
        </w:tc>
        <w:tc>
          <w:tcPr>
            <w:tcW w:w="1668" w:type="dxa"/>
            <w:vAlign w:val="center"/>
          </w:tcPr>
          <w:p>
            <w:pPr>
              <w:spacing w:line="500" w:lineRule="exact"/>
              <w:jc w:val="center"/>
              <w:rPr>
                <w:rFonts w:ascii="宋体" w:hAnsi="宋体" w:cs="宋体"/>
                <w:b/>
                <w:bCs/>
                <w:szCs w:val="21"/>
              </w:rPr>
            </w:pPr>
            <w:r>
              <w:rPr>
                <w:rFonts w:hint="eastAsia" w:ascii="宋体" w:hAnsi="宋体" w:cs="宋体"/>
                <w:b/>
                <w:bCs/>
                <w:szCs w:val="21"/>
              </w:rPr>
              <w:t>合同签订地点</w:t>
            </w:r>
          </w:p>
        </w:tc>
        <w:tc>
          <w:tcPr>
            <w:tcW w:w="6175" w:type="dxa"/>
            <w:vAlign w:val="center"/>
          </w:tcPr>
          <w:p>
            <w:pPr>
              <w:spacing w:line="500" w:lineRule="exact"/>
              <w:rPr>
                <w:rFonts w:ascii="宋体" w:hAnsi="宋体" w:cs="宋体"/>
                <w:b/>
                <w:bCs/>
                <w:szCs w:val="21"/>
              </w:rPr>
            </w:pPr>
            <w:r>
              <w:rPr>
                <w:rFonts w:hint="eastAsia" w:ascii="宋体" w:hAnsi="宋体" w:cs="宋体"/>
                <w:b/>
                <w:bCs/>
                <w:szCs w:val="21"/>
              </w:rPr>
              <w:t>黄山市屯溪区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696" w:type="dxa"/>
            <w:vAlign w:val="center"/>
          </w:tcPr>
          <w:p>
            <w:pPr>
              <w:spacing w:line="500" w:lineRule="exact"/>
              <w:jc w:val="center"/>
              <w:rPr>
                <w:rFonts w:ascii="宋体" w:hAnsi="宋体" w:cs="宋体"/>
                <w:b/>
                <w:bCs/>
                <w:szCs w:val="21"/>
              </w:rPr>
            </w:pPr>
            <w:r>
              <w:rPr>
                <w:rFonts w:hint="eastAsia" w:ascii="宋体" w:hAnsi="宋体" w:cs="宋体"/>
                <w:b/>
                <w:bCs/>
                <w:szCs w:val="21"/>
              </w:rPr>
              <w:t>2</w:t>
            </w:r>
          </w:p>
        </w:tc>
        <w:tc>
          <w:tcPr>
            <w:tcW w:w="1668" w:type="dxa"/>
            <w:vAlign w:val="center"/>
          </w:tcPr>
          <w:p>
            <w:pPr>
              <w:spacing w:line="500" w:lineRule="exact"/>
              <w:jc w:val="center"/>
              <w:rPr>
                <w:rFonts w:ascii="宋体" w:hAnsi="宋体" w:cs="宋体"/>
                <w:b/>
                <w:bCs/>
                <w:szCs w:val="21"/>
              </w:rPr>
            </w:pPr>
            <w:r>
              <w:rPr>
                <w:rFonts w:hint="eastAsia" w:ascii="宋体" w:hAnsi="宋体" w:cs="宋体"/>
                <w:b/>
                <w:bCs/>
                <w:szCs w:val="21"/>
              </w:rPr>
              <w:t>供货完成时限的期限</w:t>
            </w:r>
          </w:p>
        </w:tc>
        <w:tc>
          <w:tcPr>
            <w:tcW w:w="6175" w:type="dxa"/>
            <w:vAlign w:val="center"/>
          </w:tcPr>
          <w:p>
            <w:pPr>
              <w:spacing w:line="500" w:lineRule="exact"/>
              <w:rPr>
                <w:rFonts w:ascii="宋体" w:hAnsi="宋体" w:cs="宋体"/>
                <w:b/>
                <w:bCs/>
                <w:szCs w:val="21"/>
              </w:rPr>
            </w:pPr>
            <w:r>
              <w:rPr>
                <w:rFonts w:hint="eastAsia" w:ascii="宋体" w:hAnsi="宋体" w:cs="宋体"/>
                <w:b/>
                <w:bCs/>
                <w:szCs w:val="21"/>
              </w:rPr>
              <w:t>签订合同后 30个日历天内安装完成并验收合格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2" w:hRule="atLeast"/>
        </w:trPr>
        <w:tc>
          <w:tcPr>
            <w:tcW w:w="696" w:type="dxa"/>
            <w:vAlign w:val="center"/>
          </w:tcPr>
          <w:p>
            <w:pPr>
              <w:spacing w:line="500" w:lineRule="exact"/>
              <w:jc w:val="center"/>
              <w:rPr>
                <w:rFonts w:ascii="宋体" w:hAnsi="宋体" w:cs="宋体"/>
                <w:b/>
                <w:bCs/>
                <w:szCs w:val="21"/>
              </w:rPr>
            </w:pPr>
            <w:r>
              <w:rPr>
                <w:rFonts w:hint="eastAsia" w:ascii="宋体" w:hAnsi="宋体" w:cs="宋体"/>
                <w:b/>
                <w:bCs/>
                <w:szCs w:val="21"/>
              </w:rPr>
              <w:t>3</w:t>
            </w:r>
          </w:p>
        </w:tc>
        <w:tc>
          <w:tcPr>
            <w:tcW w:w="1668" w:type="dxa"/>
            <w:vAlign w:val="center"/>
          </w:tcPr>
          <w:p>
            <w:pPr>
              <w:spacing w:line="500" w:lineRule="exact"/>
              <w:jc w:val="center"/>
              <w:rPr>
                <w:rFonts w:ascii="宋体" w:hAnsi="宋体" w:cs="宋体"/>
                <w:b/>
                <w:bCs/>
                <w:szCs w:val="21"/>
              </w:rPr>
            </w:pPr>
            <w:r>
              <w:rPr>
                <w:rFonts w:hint="eastAsia" w:ascii="宋体" w:hAnsi="宋体" w:cs="宋体"/>
                <w:b/>
                <w:bCs/>
                <w:szCs w:val="21"/>
              </w:rPr>
              <w:t>货物包装运输要求</w:t>
            </w:r>
          </w:p>
        </w:tc>
        <w:tc>
          <w:tcPr>
            <w:tcW w:w="6175" w:type="dxa"/>
            <w:vAlign w:val="center"/>
          </w:tcPr>
          <w:p>
            <w:pPr>
              <w:spacing w:line="500" w:lineRule="exact"/>
              <w:rPr>
                <w:rFonts w:ascii="宋体" w:hAnsi="宋体" w:cs="宋体"/>
                <w:b/>
                <w:bCs/>
                <w:szCs w:val="21"/>
              </w:rPr>
            </w:pPr>
            <w:r>
              <w:rPr>
                <w:rFonts w:hint="eastAsia" w:ascii="宋体" w:hAnsi="宋体" w:cs="宋体"/>
                <w:b/>
                <w:bCs/>
                <w:szCs w:val="21"/>
              </w:rPr>
              <w:t>除合同另有规定外，成交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由成交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96" w:type="dxa"/>
            <w:vAlign w:val="center"/>
          </w:tcPr>
          <w:p>
            <w:pPr>
              <w:spacing w:line="500" w:lineRule="exact"/>
              <w:jc w:val="center"/>
              <w:rPr>
                <w:rFonts w:ascii="宋体" w:hAnsi="宋体" w:cs="宋体"/>
                <w:b/>
                <w:bCs/>
                <w:szCs w:val="21"/>
              </w:rPr>
            </w:pPr>
            <w:r>
              <w:rPr>
                <w:rFonts w:hint="eastAsia" w:ascii="宋体" w:hAnsi="宋体" w:cs="宋体"/>
                <w:b/>
                <w:bCs/>
                <w:szCs w:val="21"/>
              </w:rPr>
              <w:t>4</w:t>
            </w:r>
          </w:p>
        </w:tc>
        <w:tc>
          <w:tcPr>
            <w:tcW w:w="1668" w:type="dxa"/>
            <w:vAlign w:val="center"/>
          </w:tcPr>
          <w:p>
            <w:pPr>
              <w:spacing w:line="500" w:lineRule="exact"/>
              <w:jc w:val="center"/>
              <w:rPr>
                <w:rFonts w:ascii="宋体" w:hAnsi="宋体" w:cs="宋体"/>
                <w:b/>
                <w:bCs/>
                <w:szCs w:val="21"/>
              </w:rPr>
            </w:pPr>
            <w:r>
              <w:rPr>
                <w:rFonts w:hint="eastAsia" w:ascii="宋体" w:hAnsi="宋体" w:cs="宋体"/>
                <w:b/>
                <w:bCs/>
                <w:szCs w:val="21"/>
              </w:rPr>
              <w:t>货物质保期</w:t>
            </w:r>
          </w:p>
        </w:tc>
        <w:tc>
          <w:tcPr>
            <w:tcW w:w="6175" w:type="dxa"/>
            <w:vAlign w:val="center"/>
          </w:tcPr>
          <w:p>
            <w:pPr>
              <w:spacing w:line="500" w:lineRule="exact"/>
              <w:rPr>
                <w:rFonts w:ascii="宋体" w:hAnsi="宋体" w:cs="宋体"/>
                <w:b/>
                <w:bCs/>
                <w:szCs w:val="21"/>
              </w:rPr>
            </w:pPr>
            <w:r>
              <w:rPr>
                <w:rFonts w:hint="eastAsia" w:ascii="宋体" w:hAnsi="宋体" w:eastAsia="宋体" w:cs="宋体"/>
                <w:b/>
                <w:bCs/>
                <w:szCs w:val="21"/>
                <w:lang w:val="en-US" w:eastAsia="zh-CN"/>
              </w:rPr>
              <w:t>≧</w:t>
            </w:r>
            <w:r>
              <w:rPr>
                <w:rFonts w:hint="eastAsia" w:ascii="宋体" w:hAnsi="宋体" w:cs="宋体"/>
                <w:b/>
                <w:bCs/>
                <w:szCs w:val="21"/>
                <w:lang w:val="en-US" w:eastAsia="zh-CN"/>
              </w:rPr>
              <w:t>5</w:t>
            </w:r>
            <w:r>
              <w:rPr>
                <w:rFonts w:hint="eastAsia" w:ascii="宋体" w:hAnsi="宋体" w:cs="宋体"/>
                <w:b/>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trPr>
        <w:tc>
          <w:tcPr>
            <w:tcW w:w="696" w:type="dxa"/>
            <w:vAlign w:val="center"/>
          </w:tcPr>
          <w:p>
            <w:pPr>
              <w:spacing w:line="500" w:lineRule="exact"/>
              <w:jc w:val="center"/>
              <w:rPr>
                <w:rFonts w:ascii="宋体" w:hAnsi="宋体" w:cs="宋体"/>
                <w:b/>
                <w:bCs/>
                <w:szCs w:val="21"/>
              </w:rPr>
            </w:pPr>
            <w:r>
              <w:rPr>
                <w:rFonts w:hint="eastAsia" w:ascii="宋体" w:hAnsi="宋体" w:cs="宋体"/>
                <w:b/>
                <w:bCs/>
                <w:szCs w:val="21"/>
              </w:rPr>
              <w:t>5</w:t>
            </w:r>
          </w:p>
        </w:tc>
        <w:tc>
          <w:tcPr>
            <w:tcW w:w="1668" w:type="dxa"/>
            <w:vAlign w:val="center"/>
          </w:tcPr>
          <w:p>
            <w:pPr>
              <w:spacing w:line="500" w:lineRule="exact"/>
              <w:jc w:val="center"/>
              <w:rPr>
                <w:rFonts w:ascii="宋体" w:hAnsi="宋体" w:cs="宋体"/>
                <w:b/>
                <w:bCs/>
                <w:szCs w:val="21"/>
              </w:rPr>
            </w:pPr>
            <w:r>
              <w:rPr>
                <w:rFonts w:hint="eastAsia" w:ascii="宋体" w:hAnsi="宋体" w:cs="宋体"/>
                <w:b/>
                <w:bCs/>
                <w:szCs w:val="21"/>
              </w:rPr>
              <w:t>货物售后服务</w:t>
            </w:r>
          </w:p>
        </w:tc>
        <w:tc>
          <w:tcPr>
            <w:tcW w:w="6175" w:type="dxa"/>
            <w:vAlign w:val="center"/>
          </w:tcPr>
          <w:p>
            <w:pPr>
              <w:spacing w:line="500" w:lineRule="exact"/>
              <w:rPr>
                <w:rFonts w:ascii="宋体" w:hAnsi="宋体" w:cs="宋体"/>
                <w:b/>
                <w:bCs/>
                <w:szCs w:val="21"/>
              </w:rPr>
            </w:pPr>
            <w:r>
              <w:rPr>
                <w:rFonts w:hint="eastAsia" w:ascii="宋体" w:hAnsi="宋体" w:cs="宋体"/>
                <w:b/>
                <w:bCs/>
                <w:szCs w:val="21"/>
              </w:rPr>
              <w:t>1、在货物到达使用单位后，卖方应在7天内派工程技术人员到达现场，在买方技术人员在场的情况下开箱清点货物，组织安装、调试，并承担因此发生的一切费用；</w:t>
            </w:r>
          </w:p>
          <w:p>
            <w:pPr>
              <w:spacing w:line="500" w:lineRule="exact"/>
              <w:rPr>
                <w:rFonts w:ascii="宋体" w:hAnsi="宋体" w:cs="宋体"/>
                <w:b/>
                <w:bCs/>
                <w:szCs w:val="21"/>
              </w:rPr>
            </w:pPr>
            <w:r>
              <w:rPr>
                <w:rFonts w:hint="eastAsia" w:ascii="宋体" w:hAnsi="宋体" w:cs="宋体"/>
                <w:b/>
                <w:bCs/>
                <w:szCs w:val="21"/>
              </w:rPr>
              <w:t>2、现场培训：卖方应提供现场技术培训，保证使用人员正常操作设备的各种功能；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96" w:type="dxa"/>
            <w:vAlign w:val="center"/>
          </w:tcPr>
          <w:p>
            <w:pPr>
              <w:spacing w:line="500" w:lineRule="exact"/>
              <w:jc w:val="center"/>
              <w:rPr>
                <w:rFonts w:ascii="宋体" w:hAnsi="宋体" w:cs="宋体"/>
                <w:b/>
                <w:bCs/>
                <w:szCs w:val="21"/>
              </w:rPr>
            </w:pPr>
            <w:r>
              <w:rPr>
                <w:rFonts w:hint="eastAsia" w:ascii="宋体" w:hAnsi="宋体" w:cs="宋体"/>
                <w:b/>
                <w:bCs/>
                <w:szCs w:val="21"/>
              </w:rPr>
              <w:t>6</w:t>
            </w:r>
          </w:p>
        </w:tc>
        <w:tc>
          <w:tcPr>
            <w:tcW w:w="1668" w:type="dxa"/>
            <w:vAlign w:val="center"/>
          </w:tcPr>
          <w:p>
            <w:pPr>
              <w:spacing w:line="500" w:lineRule="exact"/>
              <w:jc w:val="center"/>
              <w:rPr>
                <w:rFonts w:ascii="宋体" w:hAnsi="宋体" w:cs="宋体"/>
                <w:b/>
                <w:bCs/>
                <w:szCs w:val="21"/>
              </w:rPr>
            </w:pPr>
            <w:r>
              <w:rPr>
                <w:rFonts w:hint="eastAsia" w:ascii="宋体" w:hAnsi="宋体" w:cs="宋体"/>
                <w:b/>
                <w:bCs/>
                <w:szCs w:val="21"/>
              </w:rPr>
              <w:t>验收</w:t>
            </w:r>
          </w:p>
        </w:tc>
        <w:tc>
          <w:tcPr>
            <w:tcW w:w="6175" w:type="dxa"/>
            <w:vAlign w:val="center"/>
          </w:tcPr>
          <w:p>
            <w:pPr>
              <w:spacing w:line="500" w:lineRule="exact"/>
              <w:rPr>
                <w:rFonts w:ascii="宋体" w:hAnsi="宋体" w:cs="宋体"/>
                <w:b/>
                <w:bCs/>
                <w:szCs w:val="21"/>
              </w:rPr>
            </w:pPr>
            <w:r>
              <w:rPr>
                <w:rFonts w:hint="eastAsia" w:ascii="宋体" w:hAnsi="宋体" w:cs="宋体"/>
                <w:b/>
                <w:bCs/>
                <w:szCs w:val="21"/>
              </w:rPr>
              <w:t>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trPr>
        <w:tc>
          <w:tcPr>
            <w:tcW w:w="696" w:type="dxa"/>
            <w:vAlign w:val="center"/>
          </w:tcPr>
          <w:p>
            <w:pPr>
              <w:spacing w:line="500" w:lineRule="exact"/>
              <w:jc w:val="center"/>
              <w:rPr>
                <w:rFonts w:ascii="宋体" w:hAnsi="宋体" w:cs="宋体"/>
                <w:b/>
                <w:bCs/>
                <w:szCs w:val="21"/>
              </w:rPr>
            </w:pPr>
            <w:r>
              <w:rPr>
                <w:rFonts w:hint="eastAsia" w:ascii="宋体" w:hAnsi="宋体" w:cs="宋体"/>
                <w:b/>
                <w:bCs/>
                <w:szCs w:val="21"/>
              </w:rPr>
              <w:t>7</w:t>
            </w:r>
          </w:p>
        </w:tc>
        <w:tc>
          <w:tcPr>
            <w:tcW w:w="1668" w:type="dxa"/>
            <w:vAlign w:val="center"/>
          </w:tcPr>
          <w:p>
            <w:pPr>
              <w:spacing w:line="500" w:lineRule="exact"/>
              <w:jc w:val="center"/>
              <w:rPr>
                <w:rFonts w:ascii="宋体" w:hAnsi="宋体" w:cs="宋体"/>
                <w:b/>
                <w:bCs/>
                <w:szCs w:val="21"/>
              </w:rPr>
            </w:pPr>
            <w:r>
              <w:rPr>
                <w:rFonts w:hint="eastAsia" w:ascii="宋体" w:hAnsi="宋体" w:cs="宋体"/>
                <w:b/>
                <w:bCs/>
                <w:szCs w:val="21"/>
              </w:rPr>
              <w:t>付款</w:t>
            </w:r>
          </w:p>
        </w:tc>
        <w:tc>
          <w:tcPr>
            <w:tcW w:w="6175" w:type="dxa"/>
            <w:vAlign w:val="center"/>
          </w:tcPr>
          <w:p>
            <w:pPr>
              <w:spacing w:line="500" w:lineRule="exact"/>
              <w:rPr>
                <w:rFonts w:ascii="宋体" w:hAnsi="宋体" w:cs="宋体"/>
                <w:b/>
                <w:bCs/>
                <w:szCs w:val="21"/>
              </w:rPr>
            </w:pPr>
            <w:r>
              <w:rPr>
                <w:rFonts w:hint="eastAsia" w:ascii="宋体" w:hAnsi="宋体" w:cs="宋体"/>
                <w:b/>
                <w:bCs/>
                <w:szCs w:val="21"/>
              </w:rPr>
              <w:t>付款人：黄山市中医医院</w:t>
            </w:r>
          </w:p>
          <w:p>
            <w:pPr>
              <w:spacing w:line="500" w:lineRule="exact"/>
              <w:rPr>
                <w:rFonts w:hint="eastAsia" w:ascii="宋体" w:hAnsi="宋体" w:eastAsia="微软雅黑" w:cs="宋体"/>
                <w:b/>
                <w:bCs/>
                <w:szCs w:val="21"/>
                <w:lang w:eastAsia="zh-CN"/>
              </w:rPr>
            </w:pPr>
            <w:r>
              <w:rPr>
                <w:rFonts w:hint="eastAsia" w:ascii="宋体" w:hAnsi="宋体" w:cs="宋体"/>
                <w:b/>
                <w:bCs/>
                <w:szCs w:val="21"/>
              </w:rPr>
              <w:t>付款方式：</w:t>
            </w:r>
            <w:r>
              <w:rPr>
                <w:rFonts w:hint="eastAsia" w:ascii="宋体" w:hAnsi="宋体" w:cs="宋体"/>
                <w:b/>
                <w:bCs/>
                <w:szCs w:val="21"/>
                <w:lang w:val="en-US" w:eastAsia="zh-CN"/>
              </w:rPr>
              <w:t>货物到采购人指定地点安装调试完毕并验收合格后，付至合同金额的 100％； 中标后签订合同前，需将中标金额的 2.5％作为履约保证金汇入医院指定账户，质保期满后无质量问题一次性退还，不计利息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96" w:type="dxa"/>
            <w:vAlign w:val="center"/>
          </w:tcPr>
          <w:p>
            <w:pPr>
              <w:spacing w:line="500" w:lineRule="exact"/>
              <w:jc w:val="center"/>
              <w:rPr>
                <w:rFonts w:ascii="宋体" w:hAnsi="宋体" w:cs="宋体"/>
                <w:b/>
                <w:bCs/>
                <w:szCs w:val="21"/>
              </w:rPr>
            </w:pPr>
            <w:r>
              <w:rPr>
                <w:rFonts w:hint="eastAsia" w:ascii="宋体" w:hAnsi="宋体" w:cs="宋体"/>
                <w:b/>
                <w:bCs/>
                <w:szCs w:val="21"/>
              </w:rPr>
              <w:t>8</w:t>
            </w:r>
          </w:p>
        </w:tc>
        <w:tc>
          <w:tcPr>
            <w:tcW w:w="1668" w:type="dxa"/>
            <w:vAlign w:val="center"/>
          </w:tcPr>
          <w:p>
            <w:pPr>
              <w:spacing w:line="500" w:lineRule="exact"/>
              <w:jc w:val="center"/>
              <w:rPr>
                <w:rFonts w:ascii="宋体" w:hAnsi="宋体" w:cs="宋体"/>
                <w:b/>
                <w:bCs/>
                <w:szCs w:val="21"/>
              </w:rPr>
            </w:pPr>
            <w:r>
              <w:rPr>
                <w:rFonts w:hint="eastAsia" w:ascii="宋体" w:hAnsi="宋体" w:cs="宋体"/>
                <w:b/>
                <w:bCs/>
                <w:szCs w:val="21"/>
              </w:rPr>
              <w:t>履约保证金</w:t>
            </w:r>
          </w:p>
        </w:tc>
        <w:tc>
          <w:tcPr>
            <w:tcW w:w="6175" w:type="dxa"/>
            <w:vAlign w:val="center"/>
          </w:tcPr>
          <w:p>
            <w:pPr>
              <w:spacing w:line="500" w:lineRule="exact"/>
              <w:rPr>
                <w:rFonts w:ascii="宋体" w:hAnsi="宋体" w:cs="宋体"/>
                <w:b/>
                <w:bCs/>
                <w:szCs w:val="21"/>
              </w:rPr>
            </w:pPr>
            <w:r>
              <w:rPr>
                <w:rFonts w:hint="eastAsia" w:ascii="宋体" w:hAnsi="宋体"/>
                <w:b/>
                <w:szCs w:val="21"/>
              </w:rPr>
              <w:t>无</w:t>
            </w:r>
          </w:p>
        </w:tc>
      </w:tr>
    </w:tbl>
    <w:p>
      <w:pPr>
        <w:spacing w:line="430" w:lineRule="exact"/>
        <w:jc w:val="left"/>
        <w:rPr>
          <w:rFonts w:hint="eastAsia" w:ascii="宋体" w:hAnsi="宋体" w:cs="宋体"/>
          <w:b/>
          <w:bCs/>
          <w:szCs w:val="21"/>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OTc3M2Y5NzIzMDFlZjAyY2Q4Njk5ODkyYjFjNzBiNTQifQ=="/>
  </w:docVars>
  <w:rsids>
    <w:rsidRoot w:val="00D31D50"/>
    <w:rsid w:val="00323B43"/>
    <w:rsid w:val="003D37D8"/>
    <w:rsid w:val="00426133"/>
    <w:rsid w:val="004358AB"/>
    <w:rsid w:val="008B7726"/>
    <w:rsid w:val="00947D61"/>
    <w:rsid w:val="00D31D50"/>
    <w:rsid w:val="00E215AF"/>
    <w:rsid w:val="0229220C"/>
    <w:rsid w:val="076830F2"/>
    <w:rsid w:val="0D054058"/>
    <w:rsid w:val="0D070E1F"/>
    <w:rsid w:val="119F4FBE"/>
    <w:rsid w:val="13C44C6D"/>
    <w:rsid w:val="14E76398"/>
    <w:rsid w:val="15C51757"/>
    <w:rsid w:val="16531D05"/>
    <w:rsid w:val="17DD56F5"/>
    <w:rsid w:val="17F35B20"/>
    <w:rsid w:val="1AC11F06"/>
    <w:rsid w:val="207F6591"/>
    <w:rsid w:val="28726B0F"/>
    <w:rsid w:val="294545B2"/>
    <w:rsid w:val="33DD6AFE"/>
    <w:rsid w:val="38440E18"/>
    <w:rsid w:val="3D9C3439"/>
    <w:rsid w:val="42B032DA"/>
    <w:rsid w:val="433C7E3E"/>
    <w:rsid w:val="450D1577"/>
    <w:rsid w:val="46396545"/>
    <w:rsid w:val="47535CC5"/>
    <w:rsid w:val="58392BD1"/>
    <w:rsid w:val="596507DD"/>
    <w:rsid w:val="5B7200D7"/>
    <w:rsid w:val="5F6D7533"/>
    <w:rsid w:val="619B1B56"/>
    <w:rsid w:val="6A4D00F2"/>
    <w:rsid w:val="6AD85679"/>
    <w:rsid w:val="6EE93FC5"/>
    <w:rsid w:val="6FB56409"/>
    <w:rsid w:val="76940177"/>
    <w:rsid w:val="77F55179"/>
    <w:rsid w:val="7A515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10"/>
    <w:autoRedefine/>
    <w:qFormat/>
    <w:uiPriority w:val="0"/>
    <w:pPr>
      <w:keepNext/>
      <w:keepLines/>
      <w:widowControl w:val="0"/>
      <w:adjustRightInd/>
      <w:snapToGrid/>
      <w:spacing w:before="340" w:after="330" w:line="578" w:lineRule="auto"/>
      <w:jc w:val="both"/>
      <w:outlineLvl w:val="0"/>
    </w:pPr>
    <w:rPr>
      <w:rFonts w:ascii="Times New Roman" w:hAnsi="Times New Roman" w:eastAsia="宋体" w:cs="Times New Roman"/>
      <w:b/>
      <w:bCs/>
      <w:kern w:val="44"/>
      <w:sz w:val="44"/>
      <w:szCs w:val="44"/>
    </w:rPr>
  </w:style>
  <w:style w:type="paragraph" w:styleId="3">
    <w:name w:val="heading 2"/>
    <w:basedOn w:val="1"/>
    <w:next w:val="1"/>
    <w:link w:val="15"/>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autoRedefine/>
    <w:semiHidden/>
    <w:qFormat/>
    <w:uiPriority w:val="0"/>
    <w:pPr>
      <w:keepNext/>
      <w:keepLines/>
      <w:spacing w:before="260" w:after="260" w:line="415" w:lineRule="auto"/>
      <w:outlineLvl w:val="2"/>
    </w:pPr>
    <w:rPr>
      <w:b/>
      <w:bCs/>
      <w:sz w:val="32"/>
      <w:szCs w:val="32"/>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5">
    <w:name w:val="Plain Text"/>
    <w:basedOn w:val="1"/>
    <w:link w:val="11"/>
    <w:autoRedefine/>
    <w:qFormat/>
    <w:uiPriority w:val="0"/>
    <w:pPr>
      <w:widowControl w:val="0"/>
      <w:adjustRightInd/>
      <w:snapToGrid/>
      <w:spacing w:after="0"/>
      <w:jc w:val="both"/>
    </w:pPr>
    <w:rPr>
      <w:rFonts w:ascii="宋体" w:hAnsi="Courier New" w:eastAsiaTheme="minorEastAsia"/>
      <w:kern w:val="2"/>
      <w:sz w:val="21"/>
    </w:rPr>
  </w:style>
  <w:style w:type="paragraph" w:styleId="6">
    <w:name w:val="Body Text First Indent"/>
    <w:basedOn w:val="1"/>
    <w:next w:val="1"/>
    <w:autoRedefine/>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customStyle="1" w:styleId="9">
    <w:name w:val="Default"/>
    <w:autoRedefine/>
    <w:unhideWhenUsed/>
    <w:qFormat/>
    <w:uiPriority w:val="99"/>
    <w:pPr>
      <w:widowControl w:val="0"/>
      <w:autoSpaceDE w:val="0"/>
      <w:autoSpaceDN w:val="0"/>
    </w:pPr>
    <w:rPr>
      <w:rFonts w:hint="eastAsia" w:ascii="黑体" w:hAnsi="黑体" w:eastAsia="黑体" w:cs="Times New Roman"/>
      <w:color w:val="000000"/>
      <w:sz w:val="24"/>
      <w:szCs w:val="22"/>
      <w:lang w:val="en-US" w:eastAsia="zh-CN" w:bidi="ar-SA"/>
    </w:rPr>
  </w:style>
  <w:style w:type="character" w:customStyle="1" w:styleId="10">
    <w:name w:val="标题 1 Char"/>
    <w:basedOn w:val="8"/>
    <w:link w:val="2"/>
    <w:autoRedefine/>
    <w:qFormat/>
    <w:uiPriority w:val="0"/>
    <w:rPr>
      <w:rFonts w:ascii="Times New Roman" w:hAnsi="Times New Roman" w:eastAsia="宋体" w:cs="Times New Roman"/>
      <w:b/>
      <w:bCs/>
      <w:kern w:val="44"/>
      <w:sz w:val="44"/>
      <w:szCs w:val="44"/>
    </w:rPr>
  </w:style>
  <w:style w:type="character" w:customStyle="1" w:styleId="11">
    <w:name w:val="纯文本 Char"/>
    <w:basedOn w:val="8"/>
    <w:link w:val="5"/>
    <w:autoRedefine/>
    <w:qFormat/>
    <w:uiPriority w:val="0"/>
    <w:rPr>
      <w:rFonts w:ascii="宋体" w:hAnsi="Courier New" w:eastAsiaTheme="minorEastAsia"/>
      <w:kern w:val="2"/>
      <w:sz w:val="21"/>
    </w:rPr>
  </w:style>
  <w:style w:type="paragraph" w:customStyle="1" w:styleId="12">
    <w:name w:val="H1"/>
    <w:basedOn w:val="3"/>
    <w:next w:val="1"/>
    <w:autoRedefine/>
    <w:qFormat/>
    <w:uiPriority w:val="0"/>
    <w:pPr>
      <w:widowControl w:val="0"/>
      <w:adjustRightInd/>
      <w:snapToGrid/>
      <w:spacing w:before="0" w:after="0" w:line="600" w:lineRule="exact"/>
      <w:jc w:val="center"/>
    </w:pPr>
    <w:rPr>
      <w:rFonts w:ascii="宋体" w:hAnsi="宋体" w:eastAsia="黑体" w:cs="Times New Roman"/>
      <w:color w:val="000000"/>
      <w:kern w:val="2"/>
      <w:szCs w:val="21"/>
    </w:rPr>
  </w:style>
  <w:style w:type="paragraph" w:customStyle="1" w:styleId="13">
    <w:name w:val="正文_0_0"/>
    <w:autoRedefine/>
    <w:qFormat/>
    <w:uiPriority w:val="0"/>
    <w:pPr>
      <w:widowControl w:val="0"/>
      <w:spacing w:after="0" w:line="240" w:lineRule="auto"/>
      <w:jc w:val="both"/>
    </w:pPr>
    <w:rPr>
      <w:rFonts w:ascii="Times New Roman" w:hAnsi="Times New Roman" w:eastAsia="宋体" w:cs="Times New Roman"/>
      <w:kern w:val="2"/>
      <w:sz w:val="21"/>
      <w:szCs w:val="20"/>
      <w:lang w:val="en-US" w:eastAsia="zh-CN" w:bidi="ar-SA"/>
    </w:rPr>
  </w:style>
  <w:style w:type="character" w:customStyle="1" w:styleId="14">
    <w:name w:val="NormalCharacter"/>
    <w:autoRedefine/>
    <w:semiHidden/>
    <w:qFormat/>
    <w:uiPriority w:val="0"/>
  </w:style>
  <w:style w:type="character" w:customStyle="1" w:styleId="15">
    <w:name w:val="标题 2 Char"/>
    <w:basedOn w:val="8"/>
    <w:link w:val="3"/>
    <w:autoRedefine/>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1260</Words>
  <Characters>1329</Characters>
  <Lines>16</Lines>
  <Paragraphs>4</Paragraphs>
  <TotalTime>6</TotalTime>
  <ScaleCrop>false</ScaleCrop>
  <LinksUpToDate>false</LinksUpToDate>
  <CharactersWithSpaces>1370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molika梅</cp:lastModifiedBy>
  <cp:lastPrinted>2022-06-28T02:00:00Z</cp:lastPrinted>
  <dcterms:modified xsi:type="dcterms:W3CDTF">2024-06-02T15:40:44Z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3DF109AC3CFB4825B4DEC4B0F288C6A7</vt:lpwstr>
  </property>
</Properties>
</file>