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rPr>
          <w:rFonts w:eastAsia="宋体" w:cs="宋体"/>
          <w:sz w:val="21"/>
        </w:rPr>
      </w:pPr>
      <w:bookmarkStart w:id="0" w:name="_Toc6728"/>
      <w:r>
        <w:rPr>
          <w:rFonts w:hint="eastAsia"/>
        </w:rPr>
        <w:t>第三章 货物服务要求/项目要求</w:t>
      </w:r>
      <w:bookmarkEnd w:id="0"/>
    </w:p>
    <w:p>
      <w:pPr>
        <w:pStyle w:val="3"/>
        <w:keepNext w:val="0"/>
        <w:spacing w:line="520" w:lineRule="exact"/>
        <w:rPr>
          <w:rFonts w:hint="eastAsia" w:ascii="宋体" w:hAnsi="宋体" w:eastAsia="宋体"/>
          <w:b/>
          <w:bCs w:val="0"/>
          <w:sz w:val="24"/>
          <w:lang w:eastAsia="zh-CN"/>
        </w:rPr>
      </w:pPr>
      <w:r>
        <w:rPr>
          <w:rFonts w:hint="eastAsia" w:ascii="宋体" w:hAnsi="宋体"/>
          <w:b/>
          <w:bCs w:val="0"/>
          <w:sz w:val="24"/>
        </w:rPr>
        <w:t>一、采购清单及技术要求</w:t>
      </w:r>
      <w:r>
        <w:rPr>
          <w:rFonts w:hint="eastAsia" w:ascii="宋体" w:hAnsi="宋体"/>
          <w:b/>
          <w:bCs w:val="0"/>
          <w:sz w:val="24"/>
          <w:lang w:eastAsia="zh-CN"/>
        </w:rPr>
        <w:t>：</w:t>
      </w:r>
    </w:p>
    <w:p>
      <w:pPr>
        <w:spacing w:line="240" w:lineRule="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（一）、前置服务器1：</w:t>
      </w:r>
    </w:p>
    <w:p>
      <w:pPr>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1、品牌：国产知名品牌，非OEM产品，1U机架式；</w:t>
      </w:r>
    </w:p>
    <w:p>
      <w:pPr>
        <w:spacing w:line="360" w:lineRule="auto"/>
        <w:ind w:left="210" w:hanging="210" w:hangingChars="1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2、★处理器：配置≥1颗Hygon 3250处理器，每颗CPU核心数≥4核，每颗CPU主频≥2.8GHz，每颗CPU三级缓存≥16MB；</w:t>
      </w:r>
    </w:p>
    <w:p>
      <w:pPr>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3、★内存：配置≥8GB DDR4 RDIMM内存，支持内存ECC保护、内存镜像、内存热备；</w:t>
      </w:r>
    </w:p>
    <w:p>
      <w:pPr>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4、硬盘：配置1块≥200G SATA热拔插硬盘；</w:t>
      </w:r>
    </w:p>
    <w:p>
      <w:pPr>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5、硬盘控制器：配置高性能12Gb RAID控制器，支持RAID0/1/10；</w:t>
      </w:r>
    </w:p>
    <w:p>
      <w:pPr>
        <w:spacing w:line="360" w:lineRule="auto"/>
        <w:ind w:left="210" w:hanging="210" w:hangingChars="10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6、网卡：板载Intel I210-AT双千兆网卡，支持NCSI，网络唤醒，网络冗余，负载均衡等网络特性；</w:t>
      </w:r>
    </w:p>
    <w:p>
      <w:pPr>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7、扩展插槽：配置2个PCI-E 3.0 x8插槽。</w:t>
      </w:r>
    </w:p>
    <w:p>
      <w:pPr>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8、电源：配置单电源≥250W，提供服务器电源认证；</w:t>
      </w:r>
    </w:p>
    <w:p>
      <w:pPr>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9、认证：产品须通过3C认证、节能认证证书和环境标志产品认证；</w:t>
      </w:r>
    </w:p>
    <w:p>
      <w:pPr>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10、其他：3年原厂整机质保，3年原厂免费上门服务（提供原厂服务承诺函）</w:t>
      </w:r>
    </w:p>
    <w:p>
      <w:pPr>
        <w:pStyle w:val="2"/>
        <w:spacing w:line="240" w:lineRule="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（二）、前置服务器2：</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1、品牌：国产知名品牌，非OEM产品，1U机架式；</w:t>
      </w:r>
    </w:p>
    <w:p>
      <w:pPr>
        <w:spacing w:line="360" w:lineRule="auto"/>
        <w:ind w:left="210" w:hanging="210" w:hanging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2、★处理器：配置≥1颗Hygon 3250处理器，每颗CPU核心数≥8核，每颗CPU主频≥2.8GHz，每颗CPU三级缓存≥16MB；</w:t>
      </w:r>
    </w:p>
    <w:p>
      <w:pPr>
        <w:spacing w:line="360" w:lineRule="auto"/>
        <w:ind w:left="210" w:hanging="210" w:hanging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3、★内存：配置32GB DDR4 RDIMM内存，内存插槽≥4根，最大支持不少于256GB内存；支持内存ECC保护、内存镜像、内存热备；</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4、硬盘：配置1块≥500G 7.2K 3.5寸SATA热拔插硬盘；</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5、硬盘控制器：配置高性能12Gb RAID控制器，支持RAID0/1/10；</w:t>
      </w:r>
    </w:p>
    <w:p>
      <w:pPr>
        <w:spacing w:line="360" w:lineRule="auto"/>
        <w:ind w:left="210" w:hanging="210" w:hanging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6、网卡：板载Intel I210-AT双千兆网卡，支持NCSI，网络唤醒，网络冗余，负载均衡等网络特性；</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7、扩展插槽：配置2个PCI-E 3.0 x8插槽；</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8、电源：配置单电源≥250W，提供服务器电源认证；</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9、认证：产品须通过3C认证、节能认证证书和环境标志产品认证；</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10、其他：3年原厂整机质保，3年原厂免费上门服务（提供原厂服务承诺函）。</w:t>
      </w:r>
    </w:p>
    <w:p>
      <w:pPr>
        <w:pStyle w:val="2"/>
        <w:spacing w:line="24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（三）、前置服务器3：</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1、品牌：国产知名品牌，非OEM产品，1U机架式；</w:t>
      </w:r>
    </w:p>
    <w:p>
      <w:pPr>
        <w:spacing w:line="360" w:lineRule="auto"/>
        <w:ind w:left="210" w:hanging="210" w:hanging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2、★处理器：配置≥1颗Hygon 3250处理器，每颗CPU核心数≥16核，每颗CPU主频≥2.8GHz，每颗CPU三级缓存≥16MB；</w:t>
      </w:r>
    </w:p>
    <w:p>
      <w:pPr>
        <w:spacing w:line="360" w:lineRule="auto"/>
        <w:ind w:left="210" w:hanging="210" w:hanging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3、★内存：配置32GB DDR4 RDIMM内存，内存插槽≥4根，最大支持不少于256GB内存；支持内存ECC保护、内存镜像、内存热备；</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4、硬盘：配置1块≥500G 7.2K 3.5寸SATA热拔插硬盘；</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5、硬盘控制器：配置高性能12Gb RAID控制器，支持RAID0/1/10；</w:t>
      </w:r>
    </w:p>
    <w:p>
      <w:pPr>
        <w:spacing w:line="360" w:lineRule="auto"/>
        <w:ind w:left="210" w:hanging="210" w:hanging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6、网卡：板载Intel I210-AT双千兆网卡，支持NCSI，网络唤醒，网络冗余，负载均衡等网络特性。</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7、扩展插槽：配置2个PCI-E 3.0 x8插槽；</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8、电源：配置单电源≥250W，提供服务器电源认证；</w:t>
      </w:r>
    </w:p>
    <w:p>
      <w:pPr>
        <w:spacing w:line="360" w:lineRule="auto"/>
        <w:ind w:left="210" w:hanging="210" w:hanging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管理软件：配置服务器管理软件，支持通过Web浏览器轻松实现对服务器的安装部署、配置、状态监控、告警、报表分析等运维管理工作，可以对机房、机柜、服务器等信息实现三维视图的方式进行监控，直观监控服务器设备信息，准确定位故障点。配置资产管理功能，包括添加资产、删除资产及机型管理；能够以图形化界面方式直观地显示资产在机柜中的位置，并突出显示机柜中资产的状态和告警；</w:t>
      </w:r>
    </w:p>
    <w:p>
      <w:pPr>
        <w:spacing w:line="360" w:lineRule="auto"/>
        <w:ind w:left="210" w:hanging="210" w:hanging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10、维护工具：配置原厂官方服务器批量维护工具，维护工具需提供不限服务器数量授权的批量更新BMC及BIOS功能、批量修改服务器BIOS功能、批量搜集BMC日志、批量搜集系统日志功能；</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11、认证：产品须通过3C认证、节能认证证书和环境标志产品认证；</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12、其他：3年原厂整机质保，3年原厂免费上门服务（提供原厂服务承诺函）。</w:t>
      </w:r>
    </w:p>
    <w:p>
      <w:pPr>
        <w:spacing w:line="360" w:lineRule="auto"/>
        <w:rPr>
          <w:rFonts w:hint="eastAsia" w:ascii="宋体" w:hAnsi="宋体"/>
          <w:b/>
        </w:rPr>
      </w:pPr>
      <w:r>
        <w:rPr>
          <w:rFonts w:hint="eastAsia" w:asciiTheme="minorEastAsia" w:hAnsiTheme="minorEastAsia" w:eastAsiaTheme="minorEastAsia" w:cstheme="minorEastAsia"/>
          <w:b/>
          <w:bCs/>
          <w:sz w:val="21"/>
          <w:szCs w:val="21"/>
          <w:lang w:val="en-US" w:eastAsia="zh-CN"/>
        </w:rPr>
        <w:t>备注：</w:t>
      </w:r>
      <w:r>
        <w:rPr>
          <w:rStyle w:val="20"/>
          <w:rFonts w:hint="eastAsia" w:ascii="宋体" w:hAnsi="宋体"/>
          <w:b/>
          <w:kern w:val="0"/>
        </w:rPr>
        <w:t>投标人需认真核对以</w:t>
      </w:r>
      <w:r>
        <w:rPr>
          <w:rStyle w:val="20"/>
          <w:rFonts w:hint="eastAsia" w:ascii="宋体" w:hAnsi="宋体"/>
          <w:b/>
          <w:kern w:val="0"/>
          <w:lang w:val="en-US" w:eastAsia="zh-CN"/>
        </w:rPr>
        <w:t>上</w:t>
      </w:r>
      <w:r>
        <w:rPr>
          <w:rStyle w:val="20"/>
          <w:rFonts w:hint="eastAsia" w:ascii="宋体" w:hAnsi="宋体"/>
          <w:b/>
          <w:kern w:val="0"/>
        </w:rPr>
        <w:t>参数，按实事求是原则，逐条进行响应，是负偏离的必须注明；标记“</w:t>
      </w:r>
      <w:r>
        <w:rPr>
          <w:rFonts w:hint="eastAsia" w:ascii="宋体" w:hAnsi="宋体"/>
          <w:b/>
        </w:rPr>
        <w:t>★”的重要参数，以及</w:t>
      </w:r>
      <w:r>
        <w:rPr>
          <w:rFonts w:hint="eastAsia" w:ascii="宋体" w:hAnsi="宋体"/>
          <w:b/>
          <w:bCs/>
        </w:rPr>
        <w:t>标书中要求提供证明材料的非“★”项，均需附证明材料、</w:t>
      </w:r>
      <w:r>
        <w:rPr>
          <w:rFonts w:hint="eastAsia" w:ascii="宋体" w:hAnsi="宋体"/>
          <w:b/>
        </w:rPr>
        <w:t>标明所在页码，</w:t>
      </w:r>
      <w:r>
        <w:rPr>
          <w:rFonts w:hint="eastAsia" w:ascii="宋体" w:hAnsi="宋体"/>
          <w:b/>
          <w:color w:val="FF0000"/>
        </w:rPr>
        <w:t>并在证明材料中标识清楚</w:t>
      </w:r>
      <w:r>
        <w:rPr>
          <w:rFonts w:hint="eastAsia" w:ascii="宋体" w:hAnsi="宋体"/>
          <w:b/>
          <w:bCs/>
          <w:color w:val="FF0000"/>
        </w:rPr>
        <w:t>（划线或画圈）</w:t>
      </w:r>
      <w:r>
        <w:rPr>
          <w:rFonts w:hint="eastAsia" w:ascii="宋体" w:hAnsi="宋体"/>
          <w:b/>
        </w:rPr>
        <w:t>，否则，评标委员会有权视其不响应；如验收时发现有虚假应标，将上报监管部门。</w:t>
      </w:r>
    </w:p>
    <w:p>
      <w:pPr>
        <w:spacing w:line="360" w:lineRule="auto"/>
        <w:rPr>
          <w:rFonts w:ascii="宋体" w:hAnsi="宋体"/>
          <w:b/>
        </w:rPr>
      </w:pPr>
      <w:r>
        <w:rPr>
          <w:rFonts w:hint="eastAsia" w:ascii="宋体" w:hAnsi="宋体"/>
          <w:b/>
          <w:lang w:val="en-US" w:eastAsia="zh-CN"/>
        </w:rPr>
        <w:t>二、</w:t>
      </w:r>
      <w:r>
        <w:rPr>
          <w:rFonts w:hint="eastAsia" w:ascii="宋体" w:hAnsi="宋体"/>
          <w:b/>
        </w:rPr>
        <w:t>要求提供的证明材料包括：</w:t>
      </w:r>
    </w:p>
    <w:p>
      <w:pPr>
        <w:spacing w:line="360" w:lineRule="auto"/>
        <w:ind w:firstLine="110" w:firstLineChars="50"/>
        <w:rPr>
          <w:rFonts w:hint="eastAsia" w:ascii="宋体" w:hAnsi="宋体"/>
        </w:rPr>
      </w:pPr>
      <w:r>
        <w:rPr>
          <w:rFonts w:hint="eastAsia" w:ascii="宋体" w:hAnsi="宋体"/>
        </w:rPr>
        <w:t>1、产品宣传彩页（中文版原件，标注有技术参数）；</w:t>
      </w:r>
    </w:p>
    <w:p>
      <w:pPr>
        <w:spacing w:line="360" w:lineRule="auto"/>
        <w:ind w:firstLine="110" w:firstLineChars="50"/>
        <w:rPr>
          <w:rFonts w:hint="eastAsia" w:ascii="宋体" w:hAnsi="宋体"/>
        </w:rPr>
      </w:pPr>
      <w:r>
        <w:rPr>
          <w:rFonts w:hint="eastAsia" w:ascii="宋体" w:hAnsi="宋体"/>
        </w:rPr>
        <w:t>2、产品白皮书（中文版）；</w:t>
      </w:r>
    </w:p>
    <w:p>
      <w:pPr>
        <w:spacing w:line="360" w:lineRule="auto"/>
        <w:ind w:firstLine="110" w:firstLineChars="50"/>
        <w:rPr>
          <w:rFonts w:hint="eastAsia" w:ascii="宋体" w:hAnsi="宋体"/>
        </w:rPr>
      </w:pPr>
      <w:r>
        <w:rPr>
          <w:rFonts w:hint="eastAsia" w:ascii="宋体" w:hAnsi="宋体"/>
        </w:rPr>
        <w:t>3、产品使用说明书（中文版）；</w:t>
      </w:r>
    </w:p>
    <w:p>
      <w:pPr>
        <w:spacing w:line="360" w:lineRule="auto"/>
        <w:ind w:firstLine="110" w:firstLineChars="50"/>
        <w:rPr>
          <w:rFonts w:hint="eastAsia" w:ascii="宋体" w:hAnsi="宋体"/>
        </w:rPr>
      </w:pPr>
      <w:r>
        <w:rPr>
          <w:rFonts w:hint="eastAsia" w:ascii="宋体" w:hAnsi="宋体"/>
        </w:rPr>
        <w:t>4、产品检测报告；</w:t>
      </w:r>
    </w:p>
    <w:p>
      <w:pPr>
        <w:spacing w:line="360" w:lineRule="auto"/>
        <w:ind w:firstLine="110" w:firstLineChars="50"/>
        <w:rPr>
          <w:rFonts w:hint="eastAsia" w:ascii="宋体" w:hAnsi="宋体"/>
        </w:rPr>
      </w:pPr>
      <w:r>
        <w:rPr>
          <w:rFonts w:hint="eastAsia" w:ascii="宋体" w:hAnsi="宋体"/>
        </w:rPr>
        <w:t xml:space="preserve">5、产品注册证 ； </w:t>
      </w:r>
    </w:p>
    <w:p>
      <w:pPr>
        <w:spacing w:line="360" w:lineRule="auto"/>
        <w:ind w:firstLine="110" w:firstLineChars="50"/>
        <w:rPr>
          <w:rFonts w:hint="eastAsia" w:ascii="宋体" w:hAnsi="宋体"/>
        </w:rPr>
      </w:pPr>
      <w:r>
        <w:rPr>
          <w:rFonts w:hint="eastAsia" w:ascii="宋体" w:hAnsi="宋体"/>
        </w:rPr>
        <w:t>6、其它证明材料；</w:t>
      </w:r>
    </w:p>
    <w:p>
      <w:pPr>
        <w:spacing w:line="360" w:lineRule="auto"/>
        <w:ind w:firstLine="431" w:firstLineChars="196"/>
        <w:rPr>
          <w:rFonts w:hint="eastAsia" w:ascii="宋体" w:hAnsi="宋体"/>
          <w:b/>
        </w:rPr>
      </w:pPr>
      <w:r>
        <w:rPr>
          <w:rFonts w:hint="eastAsia" w:ascii="宋体" w:hAnsi="宋体"/>
          <w:b/>
        </w:rPr>
        <w:t>以上六种，需加盖制造厂家的公章，投标人可任意提供其中一种或者几种，但是必须要能证明所投产品的技术指标与标书要求的一致性或者差异，如果有差异，需要在技术参数偏离表中标注清楚。</w:t>
      </w:r>
    </w:p>
    <w:p>
      <w:bookmarkStart w:id="1" w:name="_GoBack"/>
      <w:bookmarkEnd w:id="1"/>
      <w:r>
        <w:rPr>
          <w:rFonts w:hint="eastAsia" w:ascii="宋体" w:hAnsi="宋体" w:cs="宋体"/>
          <w:b/>
          <w:bCs/>
          <w:szCs w:val="21"/>
          <w:lang w:val="en-US" w:eastAsia="zh-CN"/>
        </w:rPr>
        <w:t>三</w:t>
      </w:r>
      <w:r>
        <w:rPr>
          <w:rFonts w:hint="eastAsia" w:ascii="宋体" w:hAnsi="宋体" w:cs="宋体"/>
          <w:b/>
          <w:bCs/>
          <w:szCs w:val="21"/>
        </w:rPr>
        <w:t>、商务要求</w:t>
      </w:r>
      <w:r>
        <w:rPr>
          <w:rFonts w:hint="eastAsia" w:ascii="宋体" w:hAnsi="宋体"/>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szCs w:val="21"/>
                <w:lang w:val="en-US" w:eastAsia="zh-CN"/>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lang w:val="en-US" w:eastAsia="zh-CN"/>
              </w:rPr>
              <w:t>≥3</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在货物到达使用单位后，</w:t>
            </w:r>
            <w:r>
              <w:rPr>
                <w:rFonts w:hint="eastAsia" w:ascii="宋体" w:hAnsi="宋体" w:cs="宋体"/>
                <w:b/>
                <w:bCs/>
                <w:szCs w:val="21"/>
                <w:lang w:val="en-US" w:eastAsia="zh-CN"/>
              </w:rPr>
              <w:t>根据信息科安排安放位置；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付款人：</w:t>
            </w:r>
            <w:r>
              <w:rPr>
                <w:rFonts w:hint="eastAsia" w:ascii="宋体" w:hAnsi="宋体" w:cs="宋体"/>
                <w:b/>
                <w:bCs/>
                <w:szCs w:val="21"/>
                <w:lang w:val="en-US" w:eastAsia="zh-CN"/>
              </w:rPr>
              <w:t>徽商银行（开具专票）</w:t>
            </w:r>
          </w:p>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w:t>
            </w:r>
            <w:r>
              <w:rPr>
                <w:rFonts w:hint="eastAsia" w:ascii="宋体" w:hAnsi="宋体" w:cs="宋体"/>
                <w:b/>
                <w:bCs/>
                <w:szCs w:val="21"/>
                <w:lang w:eastAsia="zh-CN"/>
              </w:rPr>
              <w:t>按需供货，</w:t>
            </w:r>
            <w:r>
              <w:rPr>
                <w:rFonts w:hint="eastAsia" w:ascii="宋体" w:hAnsi="宋体" w:cs="宋体"/>
                <w:b/>
                <w:bCs/>
                <w:szCs w:val="21"/>
                <w:lang w:val="en-US" w:eastAsia="zh-CN"/>
              </w:rPr>
              <w:t>以实际结算为准。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6"/>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026C621B"/>
    <w:rsid w:val="16C22DA1"/>
    <w:rsid w:val="4F35444D"/>
    <w:rsid w:val="6312673A"/>
    <w:rsid w:val="69360A9B"/>
    <w:rsid w:val="6A1C5C38"/>
    <w:rsid w:val="744B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9"/>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iPriority w:val="0"/>
    <w:pPr>
      <w:keepNext/>
      <w:keepLines/>
      <w:spacing w:before="260" w:after="260" w:line="415" w:lineRule="auto"/>
      <w:outlineLvl w:val="2"/>
    </w:pPr>
    <w:rPr>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0"/>
    <w:qFormat/>
    <w:uiPriority w:val="0"/>
    <w:pPr>
      <w:widowControl w:val="0"/>
      <w:adjustRightInd/>
      <w:snapToGrid/>
      <w:spacing w:after="0"/>
      <w:jc w:val="both"/>
    </w:pPr>
    <w:rPr>
      <w:rFonts w:ascii="宋体" w:hAnsi="Courier New" w:eastAsiaTheme="minorEastAsia"/>
      <w:kern w:val="2"/>
      <w:sz w:val="21"/>
    </w:rPr>
  </w:style>
  <w:style w:type="paragraph" w:styleId="6">
    <w:name w:val="Normal (Web)"/>
    <w:basedOn w:val="1"/>
    <w:qFormat/>
    <w:uiPriority w:val="0"/>
    <w:pPr>
      <w:adjustRightInd/>
      <w:snapToGrid/>
      <w:spacing w:before="100" w:beforeAutospacing="1" w:after="100" w:afterAutospacing="1" w:line="390" w:lineRule="atLeast"/>
    </w:pPr>
    <w:rPr>
      <w:rFonts w:ascii="宋体" w:hAnsi="宋体" w:eastAsia="宋体" w:cs="宋体"/>
      <w:sz w:val="18"/>
      <w:szCs w:val="18"/>
    </w:rPr>
  </w:style>
  <w:style w:type="character" w:customStyle="1" w:styleId="9">
    <w:name w:val="标题 1 Char"/>
    <w:basedOn w:val="7"/>
    <w:link w:val="3"/>
    <w:qFormat/>
    <w:uiPriority w:val="0"/>
    <w:rPr>
      <w:rFonts w:ascii="Times New Roman" w:hAnsi="Times New Roman" w:eastAsia="宋体" w:cs="Times New Roman"/>
      <w:b/>
      <w:bCs/>
      <w:kern w:val="44"/>
      <w:sz w:val="44"/>
      <w:szCs w:val="44"/>
    </w:rPr>
  </w:style>
  <w:style w:type="character" w:customStyle="1" w:styleId="10">
    <w:name w:val="纯文本 Char"/>
    <w:basedOn w:val="7"/>
    <w:link w:val="5"/>
    <w:qFormat/>
    <w:uiPriority w:val="0"/>
    <w:rPr>
      <w:rFonts w:ascii="宋体" w:hAnsi="Courier New" w:eastAsiaTheme="minorEastAsia"/>
      <w:kern w:val="2"/>
      <w:sz w:val="21"/>
    </w:rPr>
  </w:style>
  <w:style w:type="paragraph" w:customStyle="1" w:styleId="11">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2">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3">
    <w:name w:val="NormalCharacter"/>
    <w:semiHidden/>
    <w:qFormat/>
    <w:uiPriority w:val="0"/>
  </w:style>
  <w:style w:type="character" w:customStyle="1" w:styleId="14">
    <w:name w:val="标题 2 Char"/>
    <w:basedOn w:val="7"/>
    <w:link w:val="4"/>
    <w:semiHidden/>
    <w:qFormat/>
    <w:uiPriority w:val="9"/>
    <w:rPr>
      <w:rFonts w:asciiTheme="majorHAnsi" w:hAnsiTheme="majorHAnsi" w:eastAsiaTheme="majorEastAsia" w:cstheme="majorBidi"/>
      <w:b/>
      <w:bCs/>
      <w:sz w:val="32"/>
      <w:szCs w:val="32"/>
    </w:rPr>
  </w:style>
  <w:style w:type="paragraph" w:customStyle="1" w:styleId="15">
    <w:name w:val="二级无"/>
    <w:basedOn w:val="16"/>
    <w:qFormat/>
    <w:uiPriority w:val="0"/>
    <w:pPr>
      <w:numPr>
        <w:ilvl w:val="2"/>
        <w:numId w:val="1"/>
      </w:numPr>
      <w:tabs>
        <w:tab w:val="left" w:pos="2280"/>
      </w:tabs>
      <w:ind w:left="0"/>
      <w:jc w:val="left"/>
    </w:pPr>
    <w:rPr>
      <w:rFonts w:ascii="宋体" w:eastAsia="宋体"/>
      <w:szCs w:val="21"/>
    </w:rPr>
  </w:style>
  <w:style w:type="paragraph" w:customStyle="1" w:styleId="16">
    <w:name w:val="二级条标题"/>
    <w:basedOn w:val="17"/>
    <w:next w:val="19"/>
    <w:qFormat/>
    <w:uiPriority w:val="0"/>
    <w:pPr>
      <w:numPr>
        <w:ilvl w:val="3"/>
        <w:numId w:val="2"/>
      </w:numPr>
      <w:outlineLvl w:val="3"/>
    </w:pPr>
  </w:style>
  <w:style w:type="paragraph" w:customStyle="1" w:styleId="17">
    <w:name w:val="一级条标题"/>
    <w:basedOn w:val="18"/>
    <w:next w:val="1"/>
    <w:qFormat/>
    <w:uiPriority w:val="0"/>
    <w:pPr>
      <w:numPr>
        <w:ilvl w:val="2"/>
        <w:numId w:val="1"/>
      </w:numPr>
      <w:spacing w:beforeLines="0" w:afterLines="0"/>
      <w:outlineLvl w:val="2"/>
    </w:pPr>
  </w:style>
  <w:style w:type="paragraph" w:customStyle="1" w:styleId="1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15"/>
    <w:qFormat/>
    <w:uiPriority w:val="0"/>
    <w:rPr>
      <w:rFonts w:hint="default" w:ascii="Cambria" w:hAnsi="Cambr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1631</Words>
  <Characters>1756</Characters>
  <Lines>16</Lines>
  <Paragraphs>4</Paragraphs>
  <TotalTime>1</TotalTime>
  <ScaleCrop>false</ScaleCrop>
  <LinksUpToDate>false</LinksUpToDate>
  <CharactersWithSpaces>1810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2024-04-08T07:40:19Z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00C28B93C7C04A9E8BBA727B322301FE</vt:lpwstr>
  </property>
</Properties>
</file>