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rFonts w:eastAsia="宋体" w:cs="宋体"/>
          <w:sz w:val="21"/>
        </w:rPr>
      </w:pPr>
      <w:bookmarkStart w:id="0" w:name="_Toc6728"/>
      <w:r>
        <w:rPr>
          <w:rFonts w:hint="eastAsia"/>
        </w:rPr>
        <w:t>第三章 货物服务要求/项目要求</w:t>
      </w:r>
      <w:bookmarkEnd w:id="0"/>
    </w:p>
    <w:p>
      <w:pPr>
        <w:spacing w:line="360" w:lineRule="auto"/>
        <w:rPr>
          <w:rFonts w:ascii="宋体" w:hAnsi="Calibri" w:eastAsia="宋体" w:cs="Times New Roman"/>
          <w:sz w:val="24"/>
          <w:szCs w:val="24"/>
        </w:rPr>
      </w:pPr>
      <w:r>
        <w:rPr>
          <w:rFonts w:hint="eastAsia" w:ascii="宋体" w:hAnsi="宋体" w:eastAsia="宋体" w:cs="Times New Roman"/>
          <w:b/>
          <w:bCs/>
          <w:sz w:val="24"/>
          <w:szCs w:val="24"/>
        </w:rPr>
        <w:t>一、服务范围</w:t>
      </w:r>
      <w:r>
        <w:rPr>
          <w:rFonts w:ascii="宋体" w:hAnsi="宋体" w:eastAsia="宋体" w:cs="Times New Roman"/>
          <w:b/>
          <w:bCs/>
          <w:sz w:val="24"/>
          <w:szCs w:val="24"/>
        </w:rPr>
        <w:t xml:space="preserve"> </w:t>
      </w:r>
      <w:r>
        <w:rPr>
          <w:rFonts w:hint="eastAsia" w:ascii="宋体" w:hAnsi="宋体" w:eastAsia="宋体" w:cs="Times New Roman"/>
          <w:b/>
          <w:bCs/>
          <w:sz w:val="24"/>
          <w:szCs w:val="24"/>
        </w:rPr>
        <w:t>：</w:t>
      </w:r>
      <w:r>
        <w:rPr>
          <w:rFonts w:hint="eastAsia" w:ascii="宋体" w:hAnsi="宋体" w:eastAsia="宋体" w:cs="Times New Roman"/>
          <w:sz w:val="24"/>
          <w:szCs w:val="24"/>
        </w:rPr>
        <w:t>甲方委托乙方对甲方配电房内的如下电气设备实施代维。</w:t>
      </w:r>
    </w:p>
    <w:tbl>
      <w:tblPr>
        <w:tblStyle w:val="8"/>
        <w:tblpPr w:leftFromText="180" w:rightFromText="180" w:vertAnchor="text" w:horzAnchor="margin" w:tblpXSpec="center" w:tblpY="96"/>
        <w:tblW w:w="94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077"/>
        <w:gridCol w:w="992"/>
        <w:gridCol w:w="827"/>
        <w:gridCol w:w="1583"/>
        <w:gridCol w:w="1494"/>
        <w:gridCol w:w="1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008"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序号</w:t>
            </w:r>
          </w:p>
        </w:tc>
        <w:tc>
          <w:tcPr>
            <w:tcW w:w="2077"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设备名称</w:t>
            </w:r>
          </w:p>
        </w:tc>
        <w:tc>
          <w:tcPr>
            <w:tcW w:w="992"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数量</w:t>
            </w:r>
          </w:p>
        </w:tc>
        <w:tc>
          <w:tcPr>
            <w:tcW w:w="827"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单位</w:t>
            </w:r>
          </w:p>
        </w:tc>
        <w:tc>
          <w:tcPr>
            <w:tcW w:w="1583"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收费标准</w:t>
            </w:r>
            <w:r>
              <w:rPr>
                <w:rFonts w:ascii="宋体" w:hAnsi="宋体" w:eastAsia="宋体" w:cs="Times New Roman"/>
                <w:sz w:val="24"/>
                <w:szCs w:val="24"/>
              </w:rPr>
              <w:t>/</w:t>
            </w:r>
            <w:r>
              <w:rPr>
                <w:rFonts w:hint="eastAsia" w:ascii="宋体" w:hAnsi="宋体" w:eastAsia="宋体" w:cs="Times New Roman"/>
                <w:sz w:val="24"/>
                <w:szCs w:val="24"/>
              </w:rPr>
              <w:t>年</w:t>
            </w:r>
          </w:p>
        </w:tc>
        <w:tc>
          <w:tcPr>
            <w:tcW w:w="1494" w:type="dxa"/>
            <w:tcBorders>
              <w:top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小计</w:t>
            </w:r>
          </w:p>
        </w:tc>
        <w:tc>
          <w:tcPr>
            <w:tcW w:w="1494" w:type="dxa"/>
            <w:tcBorders>
              <w:top w:val="single" w:color="auto" w:sz="12" w:space="0"/>
              <w:bottom w:val="single" w:color="auto" w:sz="4" w:space="0"/>
            </w:tcBorders>
            <w:vAlign w:val="center"/>
          </w:tcPr>
          <w:p>
            <w:pPr>
              <w:jc w:val="center"/>
              <w:rPr>
                <w:rFonts w:hint="eastAsia" w:ascii="宋体" w:hAnsi="宋体" w:eastAsia="宋体" w:cs="Times New Roman"/>
                <w:b/>
                <w:bCs/>
                <w:sz w:val="24"/>
                <w:szCs w:val="24"/>
              </w:rPr>
            </w:pPr>
            <w:r>
              <w:rPr>
                <w:rFonts w:hint="eastAsia" w:ascii="宋体" w:hAnsi="宋体" w:eastAsia="宋体" w:cs="Times New Roman"/>
                <w:sz w:val="24"/>
                <w:szCs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trPr>
        <w:tc>
          <w:tcPr>
            <w:tcW w:w="1008" w:type="dxa"/>
            <w:vAlign w:val="center"/>
          </w:tcPr>
          <w:p>
            <w:pPr>
              <w:ind w:left="1" w:leftChars="-6" w:hanging="14" w:hangingChars="6"/>
              <w:jc w:val="center"/>
              <w:rPr>
                <w:rFonts w:ascii="宋体" w:hAnsi="Calibri" w:eastAsia="宋体" w:cs="Times New Roman"/>
                <w:b/>
                <w:bCs/>
                <w:sz w:val="24"/>
                <w:szCs w:val="24"/>
              </w:rPr>
            </w:pPr>
            <w:r>
              <w:rPr>
                <w:rFonts w:ascii="宋体" w:hAnsi="宋体" w:eastAsia="宋体" w:cs="Times New Roman"/>
                <w:sz w:val="24"/>
                <w:szCs w:val="24"/>
              </w:rPr>
              <w:t>1</w:t>
            </w:r>
          </w:p>
        </w:tc>
        <w:tc>
          <w:tcPr>
            <w:tcW w:w="2077" w:type="dxa"/>
            <w:vAlign w:val="center"/>
          </w:tcPr>
          <w:p>
            <w:pPr>
              <w:ind w:left="-40" w:leftChars="-18" w:firstLine="43" w:firstLineChars="18"/>
              <w:jc w:val="center"/>
              <w:rPr>
                <w:rFonts w:hint="eastAsia" w:ascii="宋体" w:hAnsi="Calibri" w:eastAsia="宋体" w:cs="Times New Roman"/>
                <w:b/>
                <w:bCs/>
                <w:sz w:val="24"/>
                <w:szCs w:val="24"/>
                <w:lang w:eastAsia="zh-CN"/>
              </w:rPr>
            </w:pPr>
            <w:r>
              <w:rPr>
                <w:rFonts w:hint="eastAsia" w:ascii="宋体" w:hAnsi="Calibri" w:eastAsia="宋体" w:cs="Times New Roman"/>
                <w:sz w:val="24"/>
                <w:szCs w:val="24"/>
                <w:lang w:eastAsia="zh-CN"/>
              </w:rPr>
              <w:t>低压配电</w:t>
            </w:r>
            <w:r>
              <w:rPr>
                <w:rFonts w:hint="eastAsia" w:ascii="宋体" w:hAnsi="Calibri" w:eastAsia="宋体" w:cs="Times New Roman"/>
                <w:sz w:val="24"/>
                <w:szCs w:val="24"/>
                <w:lang w:val="en-US" w:eastAsia="zh-CN"/>
              </w:rPr>
              <w:t>系统</w:t>
            </w:r>
          </w:p>
        </w:tc>
        <w:tc>
          <w:tcPr>
            <w:tcW w:w="992" w:type="dxa"/>
            <w:vAlign w:val="center"/>
          </w:tcPr>
          <w:p>
            <w:pPr>
              <w:jc w:val="center"/>
              <w:rPr>
                <w:rFonts w:hint="default" w:ascii="宋体" w:hAnsi="Calibri" w:eastAsia="宋体" w:cs="Times New Roman"/>
                <w:b/>
                <w:bCs/>
                <w:sz w:val="24"/>
                <w:szCs w:val="24"/>
                <w:lang w:val="en-US" w:eastAsia="zh-CN"/>
              </w:rPr>
            </w:pPr>
            <w:r>
              <w:rPr>
                <w:rFonts w:hint="eastAsia" w:ascii="宋体" w:hAnsi="Calibri" w:eastAsia="宋体" w:cs="Times New Roman"/>
                <w:sz w:val="24"/>
                <w:szCs w:val="24"/>
                <w:lang w:val="en-US" w:eastAsia="zh-CN"/>
              </w:rPr>
              <w:t>8</w:t>
            </w:r>
          </w:p>
        </w:tc>
        <w:tc>
          <w:tcPr>
            <w:tcW w:w="827" w:type="dxa"/>
            <w:vAlign w:val="center"/>
          </w:tcPr>
          <w:p>
            <w:pPr>
              <w:jc w:val="center"/>
              <w:rPr>
                <w:rFonts w:hint="eastAsia" w:ascii="宋体" w:hAnsi="Calibri" w:eastAsia="宋体" w:cs="Times New Roman"/>
                <w:b/>
                <w:bCs/>
                <w:sz w:val="24"/>
                <w:szCs w:val="24"/>
                <w:lang w:eastAsia="zh-CN"/>
              </w:rPr>
            </w:pPr>
            <w:r>
              <w:rPr>
                <w:rFonts w:hint="eastAsia" w:ascii="宋体" w:hAnsi="Calibri" w:eastAsia="宋体" w:cs="Times New Roman"/>
                <w:sz w:val="24"/>
                <w:szCs w:val="24"/>
                <w:lang w:val="en-US" w:eastAsia="zh-CN"/>
              </w:rPr>
              <w:t>套</w:t>
            </w:r>
          </w:p>
        </w:tc>
        <w:tc>
          <w:tcPr>
            <w:tcW w:w="1583" w:type="dxa"/>
            <w:vAlign w:val="center"/>
          </w:tcPr>
          <w:p>
            <w:pPr>
              <w:jc w:val="center"/>
              <w:rPr>
                <w:rFonts w:hint="default" w:ascii="宋体" w:hAnsi="Calibri" w:eastAsia="宋体" w:cs="Times New Roman"/>
                <w:b/>
                <w:bCs/>
                <w:sz w:val="24"/>
                <w:szCs w:val="24"/>
                <w:lang w:val="en-US" w:eastAsia="zh-CN"/>
              </w:rPr>
            </w:pPr>
          </w:p>
        </w:tc>
        <w:tc>
          <w:tcPr>
            <w:tcW w:w="1494" w:type="dxa"/>
            <w:tcBorders>
              <w:right w:val="single" w:color="auto" w:sz="4" w:space="0"/>
            </w:tcBorders>
            <w:vAlign w:val="center"/>
          </w:tcPr>
          <w:p>
            <w:pPr>
              <w:jc w:val="center"/>
              <w:rPr>
                <w:rFonts w:hint="default" w:ascii="宋体" w:hAnsi="Calibri" w:eastAsia="宋体" w:cs="Times New Roman"/>
                <w:b/>
                <w:bCs/>
                <w:sz w:val="24"/>
                <w:szCs w:val="24"/>
                <w:lang w:val="en-US" w:eastAsia="zh-CN"/>
              </w:rPr>
            </w:pP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pStyle w:val="3"/>
              <w:numPr>
                <w:ilvl w:val="0"/>
                <w:numId w:val="0"/>
              </w:numPr>
              <w:adjustRightInd w:val="0"/>
              <w:snapToGrid w:val="0"/>
              <w:spacing w:line="360" w:lineRule="auto"/>
              <w:rPr>
                <w:rFonts w:hint="eastAsia" w:ascii="仿宋_GB2312" w:eastAsia="仿宋_GB2312"/>
                <w:color w:val="000000" w:themeColor="text1"/>
                <w:sz w:val="24"/>
                <w:szCs w:val="24"/>
                <w:lang w:val="en-US" w:eastAsia="zh-CN"/>
              </w:rPr>
            </w:pPr>
            <w:r>
              <w:rPr>
                <w:rFonts w:hint="eastAsia"/>
                <w:color w:val="000000" w:themeColor="text1"/>
                <w:sz w:val="24"/>
                <w:szCs w:val="24"/>
              </w:rPr>
              <w:t>运维范围</w:t>
            </w:r>
            <w:r>
              <w:rPr>
                <w:rFonts w:hint="eastAsia"/>
                <w:color w:val="000000" w:themeColor="text1"/>
                <w:sz w:val="24"/>
                <w:szCs w:val="24"/>
                <w:lang w:eastAsia="zh-CN"/>
              </w:rPr>
              <w:t>：</w:t>
            </w:r>
            <w:r>
              <w:rPr>
                <w:rFonts w:hint="eastAsia" w:ascii="仿宋_GB2312" w:eastAsia="仿宋_GB2312"/>
                <w:color w:val="000000" w:themeColor="text1"/>
                <w:sz w:val="24"/>
                <w:szCs w:val="24"/>
              </w:rPr>
              <w:t>甲方</w:t>
            </w:r>
            <w:r>
              <w:rPr>
                <w:rFonts w:hint="eastAsia" w:ascii="仿宋_GB2312" w:eastAsia="仿宋_GB2312"/>
                <w:color w:val="000000" w:themeColor="text1"/>
                <w:sz w:val="24"/>
                <w:szCs w:val="24"/>
                <w:lang w:val="en-US" w:eastAsia="zh-CN"/>
              </w:rPr>
              <w:t>10KV配电房内</w:t>
            </w:r>
            <w:r>
              <w:rPr>
                <w:rFonts w:hint="eastAsia" w:ascii="仿宋_GB2312" w:eastAsia="仿宋_GB2312"/>
                <w:color w:val="000000" w:themeColor="text1"/>
                <w:sz w:val="24"/>
                <w:szCs w:val="24"/>
              </w:rPr>
              <w:t>高</w:t>
            </w:r>
            <w:r>
              <w:rPr>
                <w:rFonts w:hint="eastAsia" w:ascii="仿宋_GB2312" w:eastAsia="仿宋_GB2312"/>
                <w:color w:val="000000" w:themeColor="text1"/>
                <w:sz w:val="24"/>
                <w:szCs w:val="24"/>
                <w:lang w:eastAsia="zh-CN"/>
              </w:rPr>
              <w:t>压柜</w:t>
            </w:r>
            <w:r>
              <w:rPr>
                <w:rFonts w:hint="eastAsia" w:ascii="仿宋_GB2312" w:eastAsia="仿宋_GB2312"/>
                <w:color w:val="000000" w:themeColor="text1"/>
                <w:sz w:val="24"/>
                <w:szCs w:val="24"/>
                <w:lang w:val="en-US" w:eastAsia="zh-CN"/>
              </w:rPr>
              <w:t>26台</w:t>
            </w:r>
            <w:r>
              <w:rPr>
                <w:rFonts w:hint="eastAsia" w:ascii="仿宋_GB2312" w:eastAsia="仿宋_GB2312"/>
                <w:color w:val="000000" w:themeColor="text1"/>
                <w:sz w:val="24"/>
                <w:szCs w:val="24"/>
              </w:rPr>
              <w:t>、低压柜</w:t>
            </w:r>
            <w:r>
              <w:rPr>
                <w:rFonts w:hint="eastAsia" w:ascii="仿宋_GB2312" w:eastAsia="仿宋_GB2312"/>
                <w:color w:val="000000" w:themeColor="text1"/>
                <w:sz w:val="24"/>
                <w:szCs w:val="24"/>
                <w:lang w:val="en-US" w:eastAsia="zh-CN"/>
              </w:rPr>
              <w:t>35台</w:t>
            </w:r>
            <w:r>
              <w:rPr>
                <w:rFonts w:hint="eastAsia" w:ascii="仿宋_GB2312" w:eastAsia="仿宋_GB2312"/>
                <w:color w:val="000000" w:themeColor="text1"/>
                <w:sz w:val="24"/>
                <w:szCs w:val="24"/>
              </w:rPr>
              <w:t>、变压器</w:t>
            </w:r>
            <w:r>
              <w:rPr>
                <w:rFonts w:hint="eastAsia" w:ascii="仿宋_GB2312" w:eastAsia="仿宋_GB2312"/>
                <w:color w:val="000000" w:themeColor="text1"/>
                <w:sz w:val="24"/>
                <w:szCs w:val="24"/>
                <w:lang w:val="en-US" w:eastAsia="zh-CN"/>
              </w:rPr>
              <w:t>8台</w:t>
            </w:r>
            <w:r>
              <w:rPr>
                <w:rFonts w:hint="eastAsia" w:ascii="仿宋_GB2312" w:eastAsia="仿宋_GB2312"/>
                <w:color w:val="000000" w:themeColor="text1"/>
                <w:sz w:val="24"/>
                <w:szCs w:val="24"/>
              </w:rPr>
              <w:t>、</w:t>
            </w:r>
            <w:r>
              <w:rPr>
                <w:rFonts w:hint="eastAsia" w:ascii="仿宋_GB2312" w:eastAsia="仿宋_GB2312"/>
                <w:color w:val="000000" w:themeColor="text1"/>
                <w:sz w:val="24"/>
                <w:szCs w:val="24"/>
                <w:lang w:val="en-US" w:eastAsia="zh-CN"/>
              </w:rPr>
              <w:t>及</w:t>
            </w:r>
            <w:r>
              <w:rPr>
                <w:rFonts w:hint="eastAsia" w:ascii="仿宋_GB2312" w:eastAsia="仿宋_GB2312"/>
                <w:color w:val="000000" w:themeColor="text1"/>
                <w:sz w:val="24"/>
                <w:szCs w:val="24"/>
              </w:rPr>
              <w:t>电容补偿装置等一次设备</w:t>
            </w:r>
            <w:r>
              <w:rPr>
                <w:rFonts w:hint="eastAsia" w:ascii="仿宋_GB2312" w:eastAsia="仿宋_GB2312"/>
                <w:color w:val="000000" w:themeColor="text1"/>
                <w:sz w:val="24"/>
                <w:szCs w:val="24"/>
                <w:lang w:val="en-US" w:eastAsia="zh-CN"/>
              </w:rPr>
              <w:t>。</w:t>
            </w:r>
          </w:p>
          <w:p>
            <w:pPr>
              <w:jc w:val="center"/>
              <w:rPr>
                <w:rFonts w:hint="default" w:ascii="宋体" w:hAnsi="Calibri" w:eastAsia="宋体" w:cs="Times New Roman"/>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trPr>
        <w:tc>
          <w:tcPr>
            <w:tcW w:w="1008" w:type="dxa"/>
            <w:vAlign w:val="center"/>
          </w:tcPr>
          <w:p>
            <w:pPr>
              <w:jc w:val="center"/>
              <w:rPr>
                <w:rFonts w:ascii="宋体" w:hAnsi="宋体" w:eastAsia="宋体" w:cs="Times New Roman"/>
                <w:b/>
                <w:bCs/>
                <w:sz w:val="24"/>
                <w:szCs w:val="24"/>
              </w:rPr>
            </w:pPr>
            <w:r>
              <w:rPr>
                <w:rFonts w:ascii="宋体" w:hAnsi="宋体" w:eastAsia="宋体" w:cs="Times New Roman"/>
                <w:sz w:val="24"/>
                <w:szCs w:val="24"/>
              </w:rPr>
              <w:t>2</w:t>
            </w:r>
          </w:p>
        </w:tc>
        <w:tc>
          <w:tcPr>
            <w:tcW w:w="2077" w:type="dxa"/>
            <w:vAlign w:val="center"/>
          </w:tcPr>
          <w:p>
            <w:pPr>
              <w:jc w:val="center"/>
              <w:rPr>
                <w:rFonts w:hint="default" w:ascii="宋体" w:hAnsi="Calibri" w:eastAsia="宋体" w:cs="Times New Roman"/>
                <w:b/>
                <w:bCs/>
                <w:sz w:val="24"/>
                <w:szCs w:val="24"/>
                <w:lang w:val="en-US" w:eastAsia="zh-CN"/>
              </w:rPr>
            </w:pPr>
            <w:r>
              <w:rPr>
                <w:rFonts w:hint="eastAsia" w:ascii="宋体" w:hAnsi="Calibri" w:eastAsia="宋体" w:cs="Times New Roman"/>
                <w:sz w:val="24"/>
                <w:szCs w:val="24"/>
                <w:lang w:val="en-US" w:eastAsia="zh-CN"/>
              </w:rPr>
              <w:t>高压配电系统</w:t>
            </w:r>
          </w:p>
        </w:tc>
        <w:tc>
          <w:tcPr>
            <w:tcW w:w="992" w:type="dxa"/>
            <w:vAlign w:val="center"/>
          </w:tcPr>
          <w:p>
            <w:pPr>
              <w:jc w:val="center"/>
              <w:rPr>
                <w:rFonts w:hint="eastAsia" w:ascii="宋体" w:hAnsi="Calibri" w:eastAsia="宋体" w:cs="Times New Roman"/>
                <w:b/>
                <w:bCs/>
                <w:sz w:val="24"/>
                <w:szCs w:val="24"/>
                <w:lang w:val="en-US" w:eastAsia="zh-CN"/>
              </w:rPr>
            </w:pPr>
            <w:r>
              <w:rPr>
                <w:rFonts w:hint="eastAsia" w:ascii="宋体" w:hAnsi="Calibri" w:eastAsia="宋体" w:cs="Times New Roman"/>
                <w:sz w:val="24"/>
                <w:szCs w:val="24"/>
                <w:lang w:val="en-US" w:eastAsia="zh-CN"/>
              </w:rPr>
              <w:t>3</w:t>
            </w:r>
          </w:p>
        </w:tc>
        <w:tc>
          <w:tcPr>
            <w:tcW w:w="827" w:type="dxa"/>
            <w:vAlign w:val="center"/>
          </w:tcPr>
          <w:p>
            <w:pPr>
              <w:jc w:val="center"/>
              <w:rPr>
                <w:rFonts w:hint="eastAsia" w:ascii="宋体" w:hAnsi="Calibri" w:eastAsia="宋体" w:cs="Times New Roman"/>
                <w:b/>
                <w:bCs/>
                <w:sz w:val="24"/>
                <w:szCs w:val="24"/>
                <w:lang w:eastAsia="zh-CN"/>
              </w:rPr>
            </w:pPr>
            <w:r>
              <w:rPr>
                <w:rFonts w:hint="eastAsia" w:ascii="宋体" w:hAnsi="Calibri" w:eastAsia="宋体" w:cs="Times New Roman"/>
                <w:sz w:val="24"/>
                <w:szCs w:val="24"/>
                <w:lang w:val="en-US" w:eastAsia="zh-CN"/>
              </w:rPr>
              <w:t>套</w:t>
            </w:r>
          </w:p>
        </w:tc>
        <w:tc>
          <w:tcPr>
            <w:tcW w:w="1583" w:type="dxa"/>
            <w:vAlign w:val="center"/>
          </w:tcPr>
          <w:p>
            <w:pPr>
              <w:jc w:val="center"/>
              <w:rPr>
                <w:rFonts w:hint="default" w:ascii="宋体" w:hAnsi="Calibri" w:eastAsia="宋体" w:cs="Times New Roman"/>
                <w:b/>
                <w:bCs/>
                <w:sz w:val="24"/>
                <w:szCs w:val="24"/>
                <w:lang w:val="en-US" w:eastAsia="zh-CN"/>
              </w:rPr>
            </w:pPr>
          </w:p>
        </w:tc>
        <w:tc>
          <w:tcPr>
            <w:tcW w:w="1494" w:type="dxa"/>
            <w:tcBorders>
              <w:right w:val="single" w:color="auto" w:sz="4" w:space="0"/>
            </w:tcBorders>
            <w:vAlign w:val="center"/>
          </w:tcPr>
          <w:p>
            <w:pPr>
              <w:jc w:val="center"/>
              <w:rPr>
                <w:rFonts w:hint="default" w:ascii="宋体" w:hAnsi="Calibri" w:eastAsia="宋体" w:cs="Times New Roman"/>
                <w:b/>
                <w:bCs/>
                <w:sz w:val="24"/>
                <w:szCs w:val="24"/>
                <w:lang w:val="en-US" w:eastAsia="zh-CN"/>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Calibri" w:eastAsia="宋体" w:cs="Times New Roman"/>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30" w:hRule="atLeast"/>
        </w:trPr>
        <w:tc>
          <w:tcPr>
            <w:tcW w:w="1008" w:type="dxa"/>
            <w:vAlign w:val="center"/>
          </w:tcPr>
          <w:p>
            <w:pPr>
              <w:jc w:val="center"/>
              <w:rPr>
                <w:rFonts w:ascii="宋体" w:hAnsi="Calibri" w:eastAsia="宋体" w:cs="Times New Roman"/>
                <w:b/>
                <w:bCs/>
                <w:sz w:val="24"/>
                <w:szCs w:val="24"/>
              </w:rPr>
            </w:pPr>
            <w:r>
              <w:rPr>
                <w:rFonts w:ascii="宋体" w:hAnsi="宋体" w:eastAsia="宋体" w:cs="Times New Roman"/>
                <w:sz w:val="24"/>
                <w:szCs w:val="24"/>
              </w:rPr>
              <w:t>3</w:t>
            </w:r>
          </w:p>
        </w:tc>
        <w:tc>
          <w:tcPr>
            <w:tcW w:w="2077" w:type="dxa"/>
            <w:vAlign w:val="center"/>
          </w:tcPr>
          <w:p>
            <w:pPr>
              <w:jc w:val="center"/>
              <w:rPr>
                <w:rFonts w:hint="eastAsia" w:ascii="宋体" w:hAnsi="Calibri" w:eastAsia="宋体" w:cs="Times New Roman"/>
                <w:b/>
                <w:bCs/>
                <w:sz w:val="24"/>
                <w:szCs w:val="24"/>
                <w:lang w:eastAsia="zh-CN"/>
              </w:rPr>
            </w:pPr>
            <w:r>
              <w:rPr>
                <w:rFonts w:hint="eastAsia" w:ascii="宋体" w:hAnsi="Calibri" w:eastAsia="宋体" w:cs="Times New Roman"/>
                <w:sz w:val="24"/>
                <w:szCs w:val="24"/>
                <w:lang w:eastAsia="zh-CN"/>
              </w:rPr>
              <w:t>变压器</w:t>
            </w:r>
          </w:p>
        </w:tc>
        <w:tc>
          <w:tcPr>
            <w:tcW w:w="992" w:type="dxa"/>
            <w:vAlign w:val="center"/>
          </w:tcPr>
          <w:p>
            <w:pPr>
              <w:jc w:val="center"/>
              <w:rPr>
                <w:rFonts w:hint="eastAsia" w:ascii="宋体" w:hAnsi="Calibri" w:eastAsia="宋体" w:cs="Times New Roman"/>
                <w:b/>
                <w:bCs/>
                <w:sz w:val="24"/>
                <w:szCs w:val="24"/>
                <w:lang w:val="en-US" w:eastAsia="zh-CN"/>
              </w:rPr>
            </w:pPr>
            <w:r>
              <w:rPr>
                <w:rFonts w:hint="eastAsia" w:ascii="宋体" w:hAnsi="Calibri" w:eastAsia="宋体" w:cs="Times New Roman"/>
                <w:sz w:val="24"/>
                <w:szCs w:val="24"/>
                <w:lang w:val="en-US" w:eastAsia="zh-CN"/>
              </w:rPr>
              <w:t>8</w:t>
            </w:r>
          </w:p>
        </w:tc>
        <w:tc>
          <w:tcPr>
            <w:tcW w:w="827" w:type="dxa"/>
            <w:vAlign w:val="center"/>
          </w:tcPr>
          <w:p>
            <w:pPr>
              <w:jc w:val="center"/>
              <w:rPr>
                <w:rFonts w:hint="eastAsia" w:ascii="宋体" w:hAnsi="Calibri" w:eastAsia="宋体" w:cs="Times New Roman"/>
                <w:b/>
                <w:bCs/>
                <w:sz w:val="24"/>
                <w:szCs w:val="24"/>
                <w:lang w:eastAsia="zh-CN"/>
              </w:rPr>
            </w:pPr>
            <w:r>
              <w:rPr>
                <w:rFonts w:hint="eastAsia" w:ascii="宋体" w:hAnsi="Calibri" w:eastAsia="宋体" w:cs="Times New Roman"/>
                <w:sz w:val="24"/>
                <w:szCs w:val="24"/>
                <w:lang w:eastAsia="zh-CN"/>
              </w:rPr>
              <w:t>台</w:t>
            </w:r>
          </w:p>
        </w:tc>
        <w:tc>
          <w:tcPr>
            <w:tcW w:w="1583" w:type="dxa"/>
            <w:vAlign w:val="center"/>
          </w:tcPr>
          <w:p>
            <w:pPr>
              <w:jc w:val="center"/>
              <w:rPr>
                <w:rFonts w:hint="default" w:ascii="宋体" w:hAnsi="Calibri" w:eastAsia="宋体" w:cs="Times New Roman"/>
                <w:b/>
                <w:bCs/>
                <w:sz w:val="24"/>
                <w:szCs w:val="24"/>
                <w:lang w:val="en-US" w:eastAsia="zh-CN"/>
              </w:rPr>
            </w:pPr>
          </w:p>
        </w:tc>
        <w:tc>
          <w:tcPr>
            <w:tcW w:w="1494" w:type="dxa"/>
            <w:tcBorders>
              <w:right w:val="single" w:color="auto" w:sz="4" w:space="0"/>
            </w:tcBorders>
            <w:vAlign w:val="center"/>
          </w:tcPr>
          <w:p>
            <w:pPr>
              <w:jc w:val="center"/>
              <w:rPr>
                <w:rFonts w:hint="default" w:ascii="宋体" w:hAnsi="Calibri" w:eastAsia="宋体" w:cs="Times New Roman"/>
                <w:b/>
                <w:bCs/>
                <w:sz w:val="24"/>
                <w:szCs w:val="24"/>
                <w:lang w:val="en-US" w:eastAsia="zh-CN"/>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Calibri" w:eastAsia="宋体" w:cs="Times New Roman"/>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trPr>
        <w:tc>
          <w:tcPr>
            <w:tcW w:w="1008" w:type="dxa"/>
            <w:tcBorders>
              <w:bottom w:val="single" w:color="auto" w:sz="12" w:space="0"/>
            </w:tcBorders>
            <w:vAlign w:val="center"/>
          </w:tcPr>
          <w:p>
            <w:pPr>
              <w:jc w:val="center"/>
              <w:rPr>
                <w:rFonts w:ascii="宋体" w:hAnsi="Calibri" w:eastAsia="宋体" w:cs="Times New Roman"/>
                <w:b/>
                <w:bCs/>
                <w:sz w:val="24"/>
                <w:szCs w:val="24"/>
              </w:rPr>
            </w:pPr>
            <w:r>
              <w:rPr>
                <w:rFonts w:hint="eastAsia" w:ascii="宋体" w:hAnsi="宋体" w:eastAsia="宋体" w:cs="Times New Roman"/>
                <w:sz w:val="24"/>
                <w:szCs w:val="24"/>
              </w:rPr>
              <w:t>合计</w:t>
            </w:r>
            <w:r>
              <w:rPr>
                <w:rFonts w:ascii="宋体" w:hAnsi="宋体" w:eastAsia="宋体" w:cs="Times New Roman"/>
                <w:sz w:val="24"/>
                <w:szCs w:val="24"/>
              </w:rPr>
              <w:t>/</w:t>
            </w:r>
            <w:r>
              <w:rPr>
                <w:rFonts w:hint="eastAsia" w:ascii="宋体" w:hAnsi="宋体" w:eastAsia="宋体" w:cs="Times New Roman"/>
                <w:sz w:val="24"/>
                <w:szCs w:val="24"/>
              </w:rPr>
              <w:t>年</w:t>
            </w:r>
          </w:p>
        </w:tc>
        <w:tc>
          <w:tcPr>
            <w:tcW w:w="5479" w:type="dxa"/>
            <w:gridSpan w:val="4"/>
            <w:tcBorders>
              <w:bottom w:val="single" w:color="auto" w:sz="12" w:space="0"/>
            </w:tcBorders>
            <w:vAlign w:val="center"/>
          </w:tcPr>
          <w:p>
            <w:pPr>
              <w:jc w:val="center"/>
              <w:rPr>
                <w:rFonts w:ascii="宋体" w:hAnsi="Calibri" w:eastAsia="宋体" w:cs="Times New Roman"/>
                <w:b/>
                <w:bCs/>
                <w:sz w:val="24"/>
                <w:szCs w:val="24"/>
              </w:rPr>
            </w:pPr>
          </w:p>
        </w:tc>
        <w:tc>
          <w:tcPr>
            <w:tcW w:w="1494" w:type="dxa"/>
            <w:tcBorders>
              <w:bottom w:val="single" w:color="auto" w:sz="12" w:space="0"/>
              <w:right w:val="single" w:color="auto" w:sz="4" w:space="0"/>
            </w:tcBorders>
            <w:vAlign w:val="center"/>
          </w:tcPr>
          <w:p>
            <w:pPr>
              <w:jc w:val="center"/>
              <w:rPr>
                <w:rFonts w:hint="default" w:ascii="宋体" w:hAnsi="Calibri" w:eastAsia="宋体" w:cs="Times New Roman"/>
                <w:b/>
                <w:bCs/>
                <w:sz w:val="24"/>
                <w:szCs w:val="24"/>
                <w:lang w:val="en-US"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cs="Times New Roman"/>
                <w:b/>
                <w:bCs/>
                <w:sz w:val="24"/>
                <w:szCs w:val="24"/>
                <w:lang w:val="en-US" w:eastAsia="zh-CN"/>
              </w:rPr>
            </w:pPr>
          </w:p>
        </w:tc>
      </w:tr>
    </w:tbl>
    <w:p>
      <w:pPr>
        <w:rPr>
          <w:rFonts w:ascii="宋体" w:hAnsi="Calibri" w:eastAsia="宋体" w:cs="Times New Roman"/>
          <w:b/>
          <w:sz w:val="24"/>
          <w:szCs w:val="24"/>
        </w:rPr>
      </w:pPr>
    </w:p>
    <w:p>
      <w:pPr>
        <w:ind w:right="-161" w:rightChars="-73"/>
        <w:rPr>
          <w:rFonts w:ascii="宋体" w:hAnsi="Calibri" w:eastAsia="宋体" w:cs="Times New Roman"/>
          <w:b/>
          <w:sz w:val="24"/>
          <w:szCs w:val="24"/>
        </w:rPr>
      </w:pPr>
      <w:r>
        <w:rPr>
          <w:rFonts w:hint="eastAsia" w:ascii="宋体" w:hAnsi="宋体" w:eastAsia="宋体" w:cs="Times New Roman"/>
          <w:b/>
          <w:sz w:val="24"/>
          <w:szCs w:val="24"/>
        </w:rPr>
        <w:t>二、服务内容</w:t>
      </w:r>
    </w:p>
    <w:p>
      <w:pPr>
        <w:ind w:firstLine="480" w:firstLineChars="200"/>
        <w:rPr>
          <w:rFonts w:ascii="宋体" w:hAnsi="Calibri" w:eastAsia="宋体" w:cs="Times New Roman"/>
          <w:sz w:val="24"/>
          <w:szCs w:val="24"/>
        </w:rPr>
      </w:pPr>
      <w:r>
        <w:rPr>
          <w:rFonts w:hint="eastAsia" w:ascii="宋体" w:hAnsi="宋体" w:eastAsia="宋体" w:cs="Times New Roman"/>
          <w:sz w:val="24"/>
          <w:szCs w:val="24"/>
        </w:rPr>
        <w:t>乙方对甲方规定服务范围内的电气设备定期按电力部门的规范进行调试、维护保养、维修等保养工作，以保证甲方相应范围内电气设备的正常运转，提供全年无休应急抢修处理服务，具体内容如下：</w:t>
      </w:r>
    </w:p>
    <w:p>
      <w:pPr>
        <w:spacing w:line="320" w:lineRule="exact"/>
        <w:rPr>
          <w:rFonts w:ascii="宋体" w:hAnsi="宋体" w:eastAsia="宋体" w:cs="Times New Roman"/>
          <w:b/>
          <w:sz w:val="24"/>
          <w:szCs w:val="24"/>
        </w:rPr>
      </w:pPr>
    </w:p>
    <w:p>
      <w:pPr>
        <w:spacing w:line="320" w:lineRule="exact"/>
        <w:rPr>
          <w:rFonts w:ascii="宋体" w:hAnsi="Calibri" w:eastAsia="宋体" w:cs="Times New Roman"/>
          <w:sz w:val="24"/>
          <w:szCs w:val="24"/>
        </w:rPr>
      </w:pPr>
      <w:r>
        <w:rPr>
          <w:rFonts w:ascii="宋体" w:hAnsi="宋体" w:eastAsia="宋体" w:cs="Times New Roman"/>
          <w:b/>
          <w:sz w:val="24"/>
          <w:szCs w:val="24"/>
        </w:rPr>
        <w:t>2.1</w:t>
      </w:r>
      <w:r>
        <w:rPr>
          <w:rFonts w:hint="eastAsia" w:ascii="宋体" w:hAnsi="宋体" w:eastAsia="宋体" w:cs="Times New Roman"/>
          <w:b/>
          <w:sz w:val="24"/>
          <w:szCs w:val="24"/>
        </w:rPr>
        <w:t>日常巡视：</w:t>
      </w:r>
      <w:r>
        <w:rPr>
          <w:rFonts w:hint="eastAsia" w:ascii="宋体" w:hAnsi="宋体" w:eastAsia="宋体" w:cs="Times New Roman"/>
          <w:sz w:val="24"/>
          <w:szCs w:val="24"/>
        </w:rPr>
        <w:t>通过巡视及时发现设备故障或隐患，降低突发事故的发生机率，并记录运行数据。</w:t>
      </w:r>
    </w:p>
    <w:p>
      <w:pPr>
        <w:numPr>
          <w:ilvl w:val="0"/>
          <w:numId w:val="3"/>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每月</w:t>
      </w:r>
      <w:r>
        <w:rPr>
          <w:rFonts w:ascii="宋体" w:hAnsi="宋体" w:eastAsia="宋体" w:cs="Times New Roman"/>
          <w:sz w:val="24"/>
          <w:szCs w:val="24"/>
          <w:u w:val="single"/>
        </w:rPr>
        <w:t xml:space="preserve">  1  </w:t>
      </w:r>
      <w:r>
        <w:rPr>
          <w:rFonts w:hint="eastAsia" w:ascii="宋体" w:hAnsi="宋体" w:eastAsia="宋体" w:cs="Times New Roman"/>
          <w:sz w:val="24"/>
          <w:szCs w:val="24"/>
        </w:rPr>
        <w:t>次按制订的巡视要求对服务范围内的电气设备进行巡视、检查（每次具体时间由乙方与甲方指定签字人员协商确定）。</w:t>
      </w:r>
    </w:p>
    <w:p>
      <w:pPr>
        <w:numPr>
          <w:ilvl w:val="0"/>
          <w:numId w:val="3"/>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用电特别情况下，如负荷量增、气象突变、增加新的变配电设备或大修后的变配电设备等进行重点巡检。</w:t>
      </w:r>
    </w:p>
    <w:p>
      <w:pPr>
        <w:numPr>
          <w:ilvl w:val="0"/>
          <w:numId w:val="3"/>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按</w:t>
      </w:r>
      <w:r>
        <w:rPr>
          <w:rFonts w:hint="eastAsia" w:ascii="宋体" w:hAnsi="宋体" w:eastAsia="宋体" w:cs="Times New Roman"/>
          <w:sz w:val="24"/>
          <w:szCs w:val="24"/>
          <w:lang w:val="en-US" w:eastAsia="zh-CN"/>
        </w:rPr>
        <w:t>甲方</w:t>
      </w:r>
      <w:r>
        <w:rPr>
          <w:rFonts w:hint="eastAsia" w:ascii="宋体" w:hAnsi="宋体" w:eastAsia="宋体" w:cs="Times New Roman"/>
          <w:sz w:val="24"/>
          <w:szCs w:val="24"/>
        </w:rPr>
        <w:t>要求，对服务范围内的电气设备进行重点检查；</w:t>
      </w:r>
      <w:r>
        <w:rPr>
          <w:rFonts w:hint="eastAsia" w:ascii="宋体" w:hAnsi="宋体" w:eastAsia="宋体" w:cs="Times New Roman"/>
          <w:sz w:val="24"/>
          <w:szCs w:val="24"/>
          <w:lang w:val="en-US" w:eastAsia="zh-CN"/>
        </w:rPr>
        <w:t>甲方认为有</w:t>
      </w:r>
      <w:r>
        <w:rPr>
          <w:rFonts w:hint="eastAsia" w:ascii="宋体" w:hAnsi="宋体" w:eastAsia="宋体" w:cs="Times New Roman"/>
          <w:sz w:val="24"/>
          <w:szCs w:val="24"/>
        </w:rPr>
        <w:t>必要时</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乙方</w:t>
      </w:r>
      <w:r>
        <w:rPr>
          <w:rFonts w:hint="eastAsia" w:ascii="宋体" w:hAnsi="宋体" w:eastAsia="宋体" w:cs="Times New Roman"/>
          <w:sz w:val="24"/>
          <w:szCs w:val="24"/>
        </w:rPr>
        <w:t>安排人员到现场全程服务。</w:t>
      </w:r>
    </w:p>
    <w:p>
      <w:pPr>
        <w:numPr>
          <w:ilvl w:val="0"/>
          <w:numId w:val="3"/>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建立定检设备技术档案，根据电气设备一季度以来的运行状况，提交《客户电气设备季度运行报告》，分析设备运行情况。</w:t>
      </w:r>
    </w:p>
    <w:p>
      <w:pPr>
        <w:spacing w:line="320" w:lineRule="exact"/>
        <w:rPr>
          <w:rFonts w:ascii="宋体" w:hAnsi="宋体" w:eastAsia="宋体" w:cs="Times New Roman"/>
          <w:sz w:val="24"/>
          <w:szCs w:val="24"/>
        </w:rPr>
      </w:pPr>
    </w:p>
    <w:p>
      <w:pPr>
        <w:spacing w:line="320" w:lineRule="exact"/>
        <w:rPr>
          <w:rFonts w:ascii="宋体" w:hAnsi="Calibri" w:eastAsia="宋体" w:cs="Times New Roman"/>
          <w:sz w:val="24"/>
          <w:szCs w:val="24"/>
        </w:rPr>
      </w:pPr>
      <w:r>
        <w:rPr>
          <w:rFonts w:hint="eastAsia" w:ascii="宋体" w:hAnsi="宋体" w:eastAsia="宋体" w:cs="Times New Roman"/>
          <w:sz w:val="24"/>
          <w:szCs w:val="24"/>
        </w:rPr>
        <w:t>附：详细巡视内容：</w:t>
      </w:r>
    </w:p>
    <w:tbl>
      <w:tblPr>
        <w:tblStyle w:val="8"/>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hint="eastAsia" w:ascii="宋体" w:hAnsi="宋体" w:eastAsia="宋体" w:cs="Times New Roman"/>
                <w:bCs/>
                <w:color w:val="000000"/>
                <w:sz w:val="24"/>
                <w:szCs w:val="24"/>
              </w:rPr>
              <w:t>序号</w:t>
            </w:r>
          </w:p>
        </w:tc>
        <w:tc>
          <w:tcPr>
            <w:tcW w:w="7644"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hint="eastAsia" w:ascii="宋体" w:hAnsi="宋体" w:eastAsia="宋体" w:cs="Times New Roman"/>
                <w:bCs/>
                <w:color w:val="000000"/>
                <w:sz w:val="24"/>
                <w:szCs w:val="24"/>
              </w:rPr>
              <w:t>巡视内容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1</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配电变压器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1.1</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套管表面清洁，无裂纹、损伤、放电痕迹。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1.2</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变压器无异声、异味。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1.3</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各个电气连接点无锈蚀、过热和烧损现象【必要时，可停电检查】。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1.4</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分接开关指示位置正确，换接良好【必要时，可停电检查】。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1.5</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外壳无脱漆、锈蚀；焊口无裂纹；接地良好。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1.6</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各部密封垫无老化、开裂。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1.7</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各部螺栓完整，固定良好无松动【如用户有要求需设备停电检查】。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1.8</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变压器高、低压侧的套管等裸露带电部分应有防止短路的绝缘防护措施，例如：绝缘防护罩、用热缩材料密封等。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1.9</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配电变压器高、低压侧均应安装避雷器保护，应尽量靠近变压器装设，其接地线应与变压器低压侧中性点以及金属外壳接地完整性。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2</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高压配电柜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2.1</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高压柜表计完好</w:t>
            </w:r>
            <w:r>
              <w:rPr>
                <w:rFonts w:hint="eastAsia" w:ascii="宋体" w:hAnsi="宋体"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2.2</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开关柜指示灯、显示灯完好、指示正常。</w:t>
            </w:r>
            <w:r>
              <w:rPr>
                <w:rFonts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2.3</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开关柜密封良好，柜门完好、无破损、严重锈蚀；门锁完好。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2.4</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柜、开关、刀闸编号齐全、明确；电容器组有编号。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2.5</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配电柜柜脚大于</w:t>
            </w:r>
            <w:r>
              <w:rPr>
                <w:rFonts w:ascii="宋体" w:hAnsi="宋体" w:eastAsia="宋体" w:cs="Times New Roman"/>
                <w:color w:val="000000"/>
                <w:sz w:val="24"/>
                <w:szCs w:val="24"/>
              </w:rPr>
              <w:t>1cm</w:t>
            </w:r>
            <w:r>
              <w:rPr>
                <w:rFonts w:hint="eastAsia" w:ascii="宋体" w:hAnsi="宋体" w:eastAsia="宋体" w:cs="Times New Roman"/>
                <w:color w:val="000000"/>
                <w:sz w:val="24"/>
                <w:szCs w:val="24"/>
              </w:rPr>
              <w:t>的缝隙应用防水胶泥封堵密实。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2.6</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室内落地式配电柜底部宜高出地面</w:t>
            </w:r>
            <w:r>
              <w:rPr>
                <w:rFonts w:ascii="宋体" w:hAnsi="宋体" w:eastAsia="宋体" w:cs="Times New Roman"/>
                <w:color w:val="000000"/>
                <w:sz w:val="24"/>
                <w:szCs w:val="24"/>
              </w:rPr>
              <w:t>50mm</w:t>
            </w:r>
            <w:r>
              <w:rPr>
                <w:rFonts w:hint="eastAsia" w:ascii="宋体" w:hAnsi="宋体" w:eastAsia="宋体" w:cs="Times New Roman"/>
                <w:color w:val="000000"/>
                <w:sz w:val="24"/>
                <w:szCs w:val="24"/>
              </w:rPr>
              <w:t>及以上，底座周围应采取封闭措施，并应能防止鼠、蛇类等小动物进入柜内。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2.7</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配电柜的周围应画有安全警戒线，安全警戒线宜涂为黄色，线宽</w:t>
            </w:r>
            <w:r>
              <w:rPr>
                <w:rFonts w:ascii="宋体" w:hAnsi="宋体" w:eastAsia="宋体" w:cs="Times New Roman"/>
                <w:color w:val="000000"/>
                <w:sz w:val="24"/>
                <w:szCs w:val="24"/>
              </w:rPr>
              <w:t>100</w:t>
            </w:r>
            <w:r>
              <w:rPr>
                <w:rFonts w:hint="eastAsia" w:ascii="宋体" w:hAnsi="宋体" w:eastAsia="宋体" w:cs="Times New Roman"/>
                <w:color w:val="000000"/>
                <w:sz w:val="24"/>
                <w:szCs w:val="24"/>
              </w:rPr>
              <w:t>～</w:t>
            </w:r>
            <w:r>
              <w:rPr>
                <w:rFonts w:ascii="宋体" w:hAnsi="宋体" w:eastAsia="宋体" w:cs="Times New Roman"/>
                <w:color w:val="000000"/>
                <w:sz w:val="24"/>
                <w:szCs w:val="24"/>
              </w:rPr>
              <w:t>150mm</w:t>
            </w:r>
            <w:r>
              <w:rPr>
                <w:rFonts w:hint="eastAsia" w:ascii="宋体" w:hAnsi="宋体" w:eastAsia="宋体" w:cs="Times New Roman"/>
                <w:color w:val="000000"/>
                <w:sz w:val="24"/>
                <w:szCs w:val="24"/>
              </w:rPr>
              <w:t>，距柜前、后为</w:t>
            </w:r>
            <w:r>
              <w:rPr>
                <w:rFonts w:ascii="宋体" w:hAnsi="宋体" w:eastAsia="宋体" w:cs="Times New Roman"/>
                <w:color w:val="000000"/>
                <w:sz w:val="24"/>
                <w:szCs w:val="24"/>
              </w:rPr>
              <w:t>0.8m</w:t>
            </w:r>
            <w:r>
              <w:rPr>
                <w:rFonts w:hint="eastAsia" w:ascii="宋体" w:hAnsi="宋体"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2.8</w:t>
            </w:r>
          </w:p>
        </w:tc>
        <w:tc>
          <w:tcPr>
            <w:tcW w:w="7644" w:type="dxa"/>
            <w:shd w:val="clear" w:color="auto" w:fill="auto"/>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2.8.1</w:t>
            </w:r>
          </w:p>
        </w:tc>
        <w:tc>
          <w:tcPr>
            <w:tcW w:w="7644" w:type="dxa"/>
            <w:shd w:val="clear" w:color="auto" w:fill="auto"/>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开关的固定牢固；引线接点和接地良好。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2.8.2</w:t>
            </w:r>
          </w:p>
        </w:tc>
        <w:tc>
          <w:tcPr>
            <w:tcW w:w="7644" w:type="dxa"/>
            <w:shd w:val="clear" w:color="auto" w:fill="auto"/>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开关分、合位置指示正确、清晰。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3</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ascii="宋体" w:hAnsi="宋体" w:eastAsia="宋体" w:cs="Times New Roman"/>
                <w:bCs/>
                <w:color w:val="000000"/>
                <w:sz w:val="24"/>
                <w:szCs w:val="24"/>
              </w:rPr>
              <w:t>10KV</w:t>
            </w:r>
            <w:r>
              <w:rPr>
                <w:rFonts w:hint="eastAsia" w:ascii="宋体" w:hAnsi="宋体" w:eastAsia="宋体" w:cs="Times New Roman"/>
                <w:bCs/>
                <w:color w:val="000000"/>
                <w:sz w:val="24"/>
                <w:szCs w:val="24"/>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3.1</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电缆线路标示牌及电缆终端头相色标志齐全。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3.2</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电缆头与变压器、开关柜等连接稳固，无过热。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3.3</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电缆铠装接地良好。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3.4</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电缆无水浸。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3.5</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电缆头编号牌齐全。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3.6</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高低压电缆敷设不重叠、不交叉，符合电缆敷设要求。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3.7</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电缆进入配电房处设有防火墙或其他防火措施（防火包、防火隔板等）。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3.8</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电缆沟应有盖板覆盖，盖板宜用花纹钢板或水泥盖板，盖板要安装紧密，沟内应无杂物、积水，电缆应排列整齐。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3.9</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电缆盖板的大于</w:t>
            </w:r>
            <w:r>
              <w:rPr>
                <w:rFonts w:ascii="宋体" w:hAnsi="宋体" w:eastAsia="宋体" w:cs="Times New Roman"/>
                <w:color w:val="000000"/>
                <w:sz w:val="24"/>
                <w:szCs w:val="24"/>
              </w:rPr>
              <w:t>1cm</w:t>
            </w:r>
            <w:r>
              <w:rPr>
                <w:rFonts w:hint="eastAsia" w:ascii="宋体" w:hAnsi="宋体" w:eastAsia="宋体" w:cs="Times New Roman"/>
                <w:color w:val="000000"/>
                <w:sz w:val="24"/>
                <w:szCs w:val="24"/>
              </w:rPr>
              <w:t>的缝隙应用防水胶泥封堵密实，电缆进出线的管、洞口应密封。低压架空线进出线的管、洞口应密封。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4</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4.1</w:t>
            </w:r>
          </w:p>
        </w:tc>
        <w:tc>
          <w:tcPr>
            <w:tcW w:w="7644" w:type="dxa"/>
            <w:shd w:val="clear" w:color="auto" w:fill="auto"/>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各种配电装置的金属外壳必须与接地装置可靠连接。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4.2</w:t>
            </w:r>
          </w:p>
        </w:tc>
        <w:tc>
          <w:tcPr>
            <w:tcW w:w="7644" w:type="dxa"/>
            <w:shd w:val="clear" w:color="auto" w:fill="auto"/>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成排布置的配电柜，其两端金属外壳均应与接地线相连。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4.3</w:t>
            </w:r>
          </w:p>
        </w:tc>
        <w:tc>
          <w:tcPr>
            <w:tcW w:w="7644" w:type="dxa"/>
            <w:shd w:val="clear" w:color="auto" w:fill="auto"/>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接地线、接地引下线应完好，无损伤，无生锈和腐蚀。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5</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安全部分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5.1</w:t>
            </w:r>
          </w:p>
        </w:tc>
        <w:tc>
          <w:tcPr>
            <w:tcW w:w="7644" w:type="dxa"/>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防小动物措施完善、良好。</w:t>
            </w:r>
            <w:r>
              <w:rPr>
                <w:rFonts w:hint="eastAsia" w:ascii="宋体" w:hAnsi="宋体" w:eastAsia="宋体" w:cs="Times New Roman"/>
                <w:color w:val="000000"/>
                <w:sz w:val="24"/>
                <w:szCs w:val="24"/>
              </w:rPr>
              <w:t>电房的门、窗关闭应严密，门应向外开启，门缝小于</w:t>
            </w:r>
            <w:r>
              <w:rPr>
                <w:rFonts w:ascii="宋体" w:hAnsi="宋体" w:eastAsia="宋体" w:cs="Times New Roman"/>
                <w:color w:val="000000"/>
                <w:sz w:val="24"/>
                <w:szCs w:val="24"/>
              </w:rPr>
              <w:t>5mm</w:t>
            </w:r>
            <w:r>
              <w:rPr>
                <w:rFonts w:hint="eastAsia" w:ascii="宋体" w:hAnsi="宋体" w:eastAsia="宋体" w:cs="Times New Roman"/>
                <w:color w:val="000000"/>
                <w:sz w:val="24"/>
                <w:szCs w:val="24"/>
              </w:rPr>
              <w:t>，</w:t>
            </w:r>
            <w:r>
              <w:rPr>
                <w:rFonts w:hint="eastAsia" w:ascii="宋体" w:hAnsi="宋体" w:eastAsia="宋体" w:cs="Times New Roman"/>
                <w:bCs/>
                <w:color w:val="000000"/>
                <w:sz w:val="24"/>
                <w:szCs w:val="24"/>
              </w:rPr>
              <w:t>门口</w:t>
            </w:r>
            <w:r>
              <w:rPr>
                <w:rFonts w:hint="eastAsia" w:ascii="宋体" w:hAnsi="宋体" w:eastAsia="宋体" w:cs="Times New Roman"/>
                <w:color w:val="000000"/>
                <w:sz w:val="24"/>
                <w:szCs w:val="24"/>
              </w:rPr>
              <w:t>内侧装高</w:t>
            </w:r>
            <w:r>
              <w:rPr>
                <w:rFonts w:ascii="宋体" w:hAnsi="宋体" w:eastAsia="宋体" w:cs="Times New Roman"/>
                <w:color w:val="000000"/>
                <w:sz w:val="24"/>
                <w:szCs w:val="24"/>
              </w:rPr>
              <w:t>500mm</w:t>
            </w:r>
            <w:r>
              <w:rPr>
                <w:rFonts w:hint="eastAsia" w:ascii="宋体" w:hAnsi="宋体" w:eastAsia="宋体" w:cs="Times New Roman"/>
                <w:color w:val="000000"/>
                <w:sz w:val="24"/>
                <w:szCs w:val="24"/>
              </w:rPr>
              <w:t>的防鼠板</w:t>
            </w:r>
            <w:r>
              <w:rPr>
                <w:rFonts w:hint="eastAsia" w:ascii="宋体" w:hAnsi="宋体" w:eastAsia="宋体" w:cs="Times New Roman"/>
                <w:bCs/>
                <w:color w:val="000000"/>
                <w:sz w:val="24"/>
                <w:szCs w:val="24"/>
              </w:rPr>
              <w:t>；采光窗、通风窗、风扇口均有</w:t>
            </w:r>
            <w:r>
              <w:rPr>
                <w:rFonts w:hint="eastAsia" w:ascii="宋体" w:hAnsi="宋体" w:eastAsia="宋体" w:cs="Times New Roman"/>
                <w:color w:val="000000"/>
                <w:sz w:val="24"/>
                <w:szCs w:val="24"/>
              </w:rPr>
              <w:t>网孔不大于</w:t>
            </w:r>
            <w:r>
              <w:rPr>
                <w:rFonts w:ascii="宋体" w:hAnsi="宋体" w:eastAsia="宋体" w:cs="Times New Roman"/>
                <w:color w:val="000000"/>
                <w:sz w:val="24"/>
                <w:szCs w:val="24"/>
              </w:rPr>
              <w:t>10mm</w:t>
            </w:r>
            <w:r>
              <w:rPr>
                <w:rFonts w:hint="eastAsia" w:ascii="宋体" w:hAnsi="宋体" w:eastAsia="宋体" w:cs="Times New Roman"/>
                <w:color w:val="000000"/>
                <w:sz w:val="24"/>
                <w:szCs w:val="24"/>
              </w:rPr>
              <w:t>×</w:t>
            </w:r>
            <w:r>
              <w:rPr>
                <w:rFonts w:ascii="宋体" w:hAnsi="宋体" w:eastAsia="宋体" w:cs="Times New Roman"/>
                <w:color w:val="000000"/>
                <w:sz w:val="24"/>
                <w:szCs w:val="24"/>
              </w:rPr>
              <w:t>10mm</w:t>
            </w:r>
            <w:r>
              <w:rPr>
                <w:rFonts w:hint="eastAsia" w:ascii="宋体" w:hAnsi="宋体" w:eastAsia="宋体" w:cs="Times New Roman"/>
                <w:bCs/>
                <w:color w:val="000000"/>
                <w:sz w:val="24"/>
                <w:szCs w:val="24"/>
              </w:rPr>
              <w:t>纱网；进出室内电缆沟、管口封堵良好；电房无孔洞。</w:t>
            </w:r>
            <w:r>
              <w:rPr>
                <w:rFonts w:hint="eastAsia" w:ascii="宋体" w:hAnsi="宋体" w:eastAsia="宋体" w:cs="Times New Roman"/>
                <w:color w:val="000000"/>
                <w:sz w:val="24"/>
                <w:szCs w:val="24"/>
              </w:rPr>
              <w:t>相邻配电室之间有门时，此门应能双向开启。对地脚窗应采取防盗措施（如在窗外侧安装防盗网）。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5.2</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按要求配备足够的灭火器材，并应有巡视检查记录；电缆进室口设有防火墙。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5.3</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灭火器应存放在灭火器箱中，宜于接近门口放置，并应把实际重量纪录在灭火器每月检查登记卡上。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5.4</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室内干净、无杂物、不积尘严重；柜内支柱绝缘子、互感器、避雷器等的外绝缘不积尘严重。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5.5</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自然通风散热良好，安装风扇启动正常。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5.6</w:t>
            </w:r>
          </w:p>
        </w:tc>
        <w:tc>
          <w:tcPr>
            <w:tcW w:w="7644" w:type="dxa"/>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电房周围运行环境良好，无影响电房安全运行的酸碱性物质、蒸汽、油罐、垃圾、树木、杂草等。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5.7</w:t>
            </w:r>
          </w:p>
        </w:tc>
        <w:tc>
          <w:tcPr>
            <w:tcW w:w="7644" w:type="dxa"/>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color w:val="000000"/>
                <w:sz w:val="24"/>
                <w:szCs w:val="24"/>
              </w:rPr>
              <w:t>电房应装设工具箱，箱内应放置足够数量的高、低压开关的操作扳手、配电柜门钥匙及</w:t>
            </w:r>
            <w:r>
              <w:rPr>
                <w:rFonts w:hint="eastAsia" w:ascii="宋体" w:hAnsi="Calibri" w:eastAsia="宋体" w:cs="Times New Roman"/>
                <w:color w:val="000000"/>
                <w:sz w:val="24"/>
                <w:szCs w:val="24"/>
              </w:rPr>
              <w:t>“</w:t>
            </w:r>
            <w:r>
              <w:rPr>
                <w:rFonts w:hint="eastAsia" w:ascii="宋体" w:hAnsi="宋体" w:eastAsia="宋体" w:cs="Times New Roman"/>
                <w:color w:val="000000"/>
                <w:sz w:val="24"/>
                <w:szCs w:val="24"/>
              </w:rPr>
              <w:t>禁止合闸，有人工作</w:t>
            </w:r>
            <w:r>
              <w:rPr>
                <w:rFonts w:hint="eastAsia" w:ascii="宋体" w:hAnsi="Calibri" w:eastAsia="宋体" w:cs="Times New Roman"/>
                <w:color w:val="000000"/>
                <w:sz w:val="24"/>
                <w:szCs w:val="24"/>
              </w:rPr>
              <w:t>”</w:t>
            </w:r>
            <w:r>
              <w:rPr>
                <w:rFonts w:hint="eastAsia" w:ascii="宋体" w:hAnsi="宋体" w:eastAsia="宋体" w:cs="Times New Roman"/>
                <w:color w:val="000000"/>
                <w:sz w:val="24"/>
                <w:szCs w:val="24"/>
              </w:rPr>
              <w:t>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5.8</w:t>
            </w:r>
          </w:p>
        </w:tc>
        <w:tc>
          <w:tcPr>
            <w:tcW w:w="7644" w:type="dxa"/>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color w:val="000000"/>
                <w:sz w:val="24"/>
                <w:szCs w:val="24"/>
              </w:rPr>
              <w:t>高、低压柜前应配置绝缘垫，绝缘垫长度与电柜宽度相等，宽度不小于</w:t>
            </w:r>
            <w:r>
              <w:rPr>
                <w:rFonts w:ascii="宋体" w:hAnsi="宋体" w:eastAsia="宋体" w:cs="Times New Roman"/>
                <w:color w:val="000000"/>
                <w:sz w:val="24"/>
                <w:szCs w:val="24"/>
              </w:rPr>
              <w:t>0.6m</w:t>
            </w:r>
            <w:r>
              <w:rPr>
                <w:rFonts w:hint="eastAsia" w:ascii="宋体" w:hAnsi="宋体" w:eastAsia="宋体" w:cs="Times New Roman"/>
                <w:color w:val="000000"/>
                <w:sz w:val="24"/>
                <w:szCs w:val="24"/>
              </w:rPr>
              <w:t>（宜放置于电柜安全警戒线之内）。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5.9</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电房内应在显著位置挂设现场运行规程，写明电房内各项作业的注意事项及操作程序。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5.10</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bCs/>
                <w:color w:val="000000"/>
                <w:sz w:val="24"/>
                <w:szCs w:val="24"/>
              </w:rPr>
              <w:t>照明灯具完好，开关完好，按要求配备应急照明灯，且完好。但</w:t>
            </w:r>
            <w:r>
              <w:rPr>
                <w:rFonts w:hint="eastAsia" w:ascii="宋体" w:hAnsi="宋体" w:eastAsia="宋体" w:cs="Times New Roman"/>
                <w:color w:val="000000"/>
                <w:sz w:val="24"/>
                <w:szCs w:val="24"/>
              </w:rPr>
              <w:t>在电房内裸导体正上方，不应布置灯具和照明线路。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5.11</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长度大于</w:t>
            </w:r>
            <w:r>
              <w:rPr>
                <w:rFonts w:ascii="宋体" w:hAnsi="宋体" w:eastAsia="宋体" w:cs="Times New Roman"/>
                <w:color w:val="000000"/>
                <w:sz w:val="24"/>
                <w:szCs w:val="24"/>
              </w:rPr>
              <w:t>7m</w:t>
            </w:r>
            <w:r>
              <w:rPr>
                <w:rFonts w:hint="eastAsia" w:ascii="宋体" w:hAnsi="宋体" w:eastAsia="宋体" w:cs="Times New Roman"/>
                <w:color w:val="000000"/>
                <w:sz w:val="24"/>
                <w:szCs w:val="24"/>
              </w:rPr>
              <w:t>的电房应设两个通往室外的出口，并宜布置在房间的两端；配电装置的长度大于</w:t>
            </w:r>
            <w:r>
              <w:rPr>
                <w:rFonts w:ascii="宋体" w:hAnsi="宋体" w:eastAsia="宋体" w:cs="Times New Roman"/>
                <w:color w:val="000000"/>
                <w:sz w:val="24"/>
                <w:szCs w:val="24"/>
              </w:rPr>
              <w:t>6m</w:t>
            </w:r>
            <w:r>
              <w:rPr>
                <w:rFonts w:hint="eastAsia" w:ascii="宋体" w:hAnsi="宋体" w:eastAsia="宋体" w:cs="Times New Roman"/>
                <w:color w:val="000000"/>
                <w:sz w:val="24"/>
                <w:szCs w:val="24"/>
              </w:rPr>
              <w:t>时，其柜（屏）后通道应设两个出口，低压配电装置两个出口间的距离超过</w:t>
            </w:r>
            <w:r>
              <w:rPr>
                <w:rFonts w:ascii="宋体" w:hAnsi="宋体" w:eastAsia="宋体" w:cs="Times New Roman"/>
                <w:color w:val="000000"/>
                <w:sz w:val="24"/>
                <w:szCs w:val="24"/>
              </w:rPr>
              <w:t>15m</w:t>
            </w:r>
            <w:r>
              <w:rPr>
                <w:rFonts w:hint="eastAsia" w:ascii="宋体" w:hAnsi="宋体" w:eastAsia="宋体" w:cs="Times New Roman"/>
                <w:color w:val="000000"/>
                <w:sz w:val="24"/>
                <w:szCs w:val="24"/>
              </w:rPr>
              <w:t>时，尚应增加出口。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shd w:val="clear" w:color="auto" w:fill="auto"/>
            <w:vAlign w:val="center"/>
          </w:tcPr>
          <w:p>
            <w:pPr>
              <w:adjustRightInd w:val="0"/>
              <w:snapToGrid w:val="0"/>
              <w:spacing w:line="320" w:lineRule="exact"/>
              <w:jc w:val="center"/>
              <w:rPr>
                <w:rFonts w:ascii="宋体" w:hAnsi="Calibri" w:eastAsia="宋体" w:cs="Times New Roman"/>
                <w:bCs/>
                <w:color w:val="000000"/>
                <w:sz w:val="24"/>
                <w:szCs w:val="24"/>
              </w:rPr>
            </w:pPr>
            <w:r>
              <w:rPr>
                <w:rFonts w:ascii="宋体" w:hAnsi="宋体" w:eastAsia="宋体" w:cs="Times New Roman"/>
                <w:bCs/>
                <w:color w:val="000000"/>
                <w:sz w:val="24"/>
                <w:szCs w:val="24"/>
              </w:rPr>
              <w:t>6</w:t>
            </w:r>
          </w:p>
        </w:tc>
        <w:tc>
          <w:tcPr>
            <w:tcW w:w="7644" w:type="dxa"/>
            <w:shd w:val="clear" w:color="auto" w:fill="auto"/>
            <w:vAlign w:val="center"/>
          </w:tcPr>
          <w:p>
            <w:pPr>
              <w:adjustRightInd w:val="0"/>
              <w:snapToGrid w:val="0"/>
              <w:spacing w:line="320" w:lineRule="exact"/>
              <w:rPr>
                <w:rFonts w:ascii="宋体" w:hAnsi="Calibri" w:eastAsia="宋体" w:cs="Times New Roman"/>
                <w:bCs/>
                <w:color w:val="000000"/>
                <w:sz w:val="24"/>
                <w:szCs w:val="24"/>
              </w:rPr>
            </w:pPr>
            <w:r>
              <w:rPr>
                <w:rFonts w:hint="eastAsia" w:ascii="宋体" w:hAnsi="宋体" w:eastAsia="宋体" w:cs="Times New Roman"/>
                <w:bCs/>
                <w:color w:val="000000"/>
                <w:sz w:val="24"/>
                <w:szCs w:val="24"/>
              </w:rPr>
              <w:t>电房卫生管理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6.1</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电房地面、绝缘垫请扫干净，无积尘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6.2</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室内墙壁及天花板无蜘蛛网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6.3</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电房无杂物或杂物统一堆放在不易看见的墙角切堆放整齐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6.4</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电柜面有定期用拧干的湿布进行清洁，表面无积尘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6.5</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电柜内积尘较小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9" w:type="dxa"/>
            <w:vAlign w:val="center"/>
          </w:tcPr>
          <w:p>
            <w:pPr>
              <w:adjustRightInd w:val="0"/>
              <w:snapToGrid w:val="0"/>
              <w:spacing w:line="320" w:lineRule="exact"/>
              <w:jc w:val="center"/>
              <w:rPr>
                <w:rFonts w:ascii="宋体" w:hAnsi="Calibri" w:eastAsia="宋体" w:cs="Times New Roman"/>
                <w:color w:val="000000"/>
                <w:sz w:val="24"/>
                <w:szCs w:val="24"/>
              </w:rPr>
            </w:pPr>
            <w:r>
              <w:rPr>
                <w:rFonts w:ascii="宋体" w:hAnsi="宋体" w:eastAsia="宋体" w:cs="Times New Roman"/>
                <w:color w:val="000000"/>
                <w:sz w:val="24"/>
                <w:szCs w:val="24"/>
              </w:rPr>
              <w:t>6.6</w:t>
            </w:r>
          </w:p>
        </w:tc>
        <w:tc>
          <w:tcPr>
            <w:tcW w:w="7644" w:type="dxa"/>
            <w:vAlign w:val="center"/>
          </w:tcPr>
          <w:p>
            <w:pPr>
              <w:adjustRightInd w:val="0"/>
              <w:snapToGrid w:val="0"/>
              <w:spacing w:line="320" w:lineRule="exact"/>
              <w:rPr>
                <w:rFonts w:ascii="宋体" w:hAnsi="Calibri" w:eastAsia="宋体" w:cs="Times New Roman"/>
                <w:color w:val="000000"/>
                <w:sz w:val="24"/>
                <w:szCs w:val="24"/>
              </w:rPr>
            </w:pPr>
            <w:r>
              <w:rPr>
                <w:rFonts w:hint="eastAsia" w:ascii="宋体" w:hAnsi="宋体" w:eastAsia="宋体" w:cs="Times New Roman"/>
                <w:color w:val="000000"/>
                <w:sz w:val="24"/>
                <w:szCs w:val="24"/>
              </w:rPr>
              <w:t>操作工具、标示牌、绝缘工器具、杂物表面定时清扫，表面无积尘。</w:t>
            </w:r>
          </w:p>
        </w:tc>
      </w:tr>
    </w:tbl>
    <w:p>
      <w:pPr>
        <w:spacing w:line="320" w:lineRule="exact"/>
        <w:rPr>
          <w:rFonts w:ascii="宋体" w:hAnsi="Calibri" w:eastAsia="宋体" w:cs="Times New Roman"/>
          <w:b/>
          <w:sz w:val="24"/>
          <w:szCs w:val="24"/>
        </w:rPr>
      </w:pPr>
    </w:p>
    <w:p>
      <w:pPr>
        <w:spacing w:line="320" w:lineRule="exact"/>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预约操作项目</w:t>
      </w:r>
    </w:p>
    <w:p>
      <w:pPr>
        <w:spacing w:line="320" w:lineRule="exact"/>
        <w:rPr>
          <w:rFonts w:ascii="宋体" w:hAnsi="宋体" w:eastAsia="宋体" w:cs="Times New Roman"/>
          <w:b/>
          <w:sz w:val="24"/>
          <w:szCs w:val="24"/>
        </w:rPr>
      </w:pPr>
    </w:p>
    <w:tbl>
      <w:tblPr>
        <w:tblStyle w:val="8"/>
        <w:tblW w:w="8294" w:type="dxa"/>
        <w:tblInd w:w="94" w:type="dxa"/>
        <w:tblLayout w:type="fixed"/>
        <w:tblCellMar>
          <w:top w:w="0" w:type="dxa"/>
          <w:left w:w="108" w:type="dxa"/>
          <w:bottom w:w="0" w:type="dxa"/>
          <w:right w:w="108" w:type="dxa"/>
        </w:tblCellMar>
      </w:tblPr>
      <w:tblGrid>
        <w:gridCol w:w="640"/>
        <w:gridCol w:w="1060"/>
        <w:gridCol w:w="5514"/>
        <w:gridCol w:w="1080"/>
      </w:tblGrid>
      <w:tr>
        <w:tblPrEx>
          <w:tblLayout w:type="fixed"/>
          <w:tblCellMar>
            <w:top w:w="0" w:type="dxa"/>
            <w:left w:w="108" w:type="dxa"/>
            <w:bottom w:w="0" w:type="dxa"/>
            <w:right w:w="108" w:type="dxa"/>
          </w:tblCellMar>
        </w:tblPrEx>
        <w:trPr>
          <w:trHeight w:val="495"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宋体"/>
                <w:kern w:val="0"/>
                <w:sz w:val="24"/>
                <w:szCs w:val="24"/>
              </w:rPr>
            </w:pPr>
            <w:r>
              <w:rPr>
                <w:rFonts w:hint="eastAsia" w:ascii="宋体" w:hAnsi="宋体" w:eastAsia="宋体" w:cs="宋体"/>
                <w:kern w:val="0"/>
                <w:sz w:val="24"/>
                <w:szCs w:val="24"/>
              </w:rPr>
              <w:t>序号</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宋体"/>
                <w:kern w:val="0"/>
                <w:sz w:val="24"/>
                <w:szCs w:val="24"/>
              </w:rPr>
            </w:pPr>
            <w:r>
              <w:rPr>
                <w:rFonts w:hint="eastAsia" w:ascii="宋体" w:hAnsi="宋体" w:eastAsia="宋体" w:cs="宋体"/>
                <w:kern w:val="0"/>
                <w:sz w:val="24"/>
                <w:szCs w:val="24"/>
              </w:rPr>
              <w:t>项目名称</w:t>
            </w:r>
          </w:p>
        </w:tc>
        <w:tc>
          <w:tcPr>
            <w:tcW w:w="5514" w:type="dxa"/>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宋体"/>
                <w:kern w:val="0"/>
                <w:sz w:val="24"/>
                <w:szCs w:val="24"/>
              </w:rPr>
            </w:pPr>
            <w:r>
              <w:rPr>
                <w:rFonts w:hint="eastAsia" w:ascii="宋体" w:hAnsi="宋体" w:eastAsia="宋体" w:cs="宋体"/>
                <w:kern w:val="0"/>
                <w:sz w:val="24"/>
                <w:szCs w:val="24"/>
              </w:rPr>
              <w:t>分项工作内容</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宋体"/>
                <w:kern w:val="0"/>
                <w:sz w:val="24"/>
                <w:szCs w:val="24"/>
              </w:rPr>
            </w:pPr>
            <w:r>
              <w:rPr>
                <w:rFonts w:hint="eastAsia" w:ascii="宋体" w:hAnsi="宋体" w:eastAsia="宋体" w:cs="宋体"/>
                <w:kern w:val="0"/>
                <w:sz w:val="24"/>
                <w:szCs w:val="24"/>
              </w:rPr>
              <w:t>年次数</w:t>
            </w:r>
          </w:p>
        </w:tc>
      </w:tr>
      <w:tr>
        <w:tblPrEx>
          <w:tblLayout w:type="fixed"/>
          <w:tblCellMar>
            <w:top w:w="0" w:type="dxa"/>
            <w:left w:w="108" w:type="dxa"/>
            <w:bottom w:w="0" w:type="dxa"/>
            <w:right w:w="108" w:type="dxa"/>
          </w:tblCellMar>
        </w:tblPrEx>
        <w:trPr>
          <w:trHeight w:val="402"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kern w:val="0"/>
                <w:sz w:val="24"/>
                <w:szCs w:val="24"/>
              </w:rPr>
            </w:pPr>
            <w:r>
              <w:rPr>
                <w:rFonts w:ascii="Calibri" w:hAnsi="Calibri" w:eastAsia="宋体" w:cs="Times New Roman"/>
                <w:kern w:val="0"/>
                <w:sz w:val="24"/>
                <w:szCs w:val="24"/>
              </w:rPr>
              <w:t>1</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宋体"/>
                <w:kern w:val="0"/>
                <w:sz w:val="24"/>
                <w:szCs w:val="24"/>
              </w:rPr>
            </w:pPr>
            <w:r>
              <w:rPr>
                <w:rFonts w:hint="eastAsia" w:ascii="宋体" w:hAnsi="宋体" w:eastAsia="宋体" w:cs="宋体"/>
                <w:kern w:val="0"/>
                <w:sz w:val="24"/>
                <w:szCs w:val="24"/>
              </w:rPr>
              <w:t>操作</w:t>
            </w:r>
          </w:p>
        </w:tc>
        <w:tc>
          <w:tcPr>
            <w:tcW w:w="5514"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rPr>
            </w:pPr>
            <w:r>
              <w:rPr>
                <w:rFonts w:ascii="Calibri" w:hAnsi="Calibri" w:eastAsia="宋体" w:cs="Times New Roman"/>
                <w:kern w:val="0"/>
                <w:sz w:val="24"/>
                <w:szCs w:val="24"/>
              </w:rPr>
              <w:t>1</w:t>
            </w:r>
            <w:r>
              <w:rPr>
                <w:rFonts w:hint="eastAsia" w:ascii="宋体" w:hAnsi="宋体" w:eastAsia="宋体" w:cs="Times New Roman"/>
                <w:kern w:val="0"/>
                <w:sz w:val="24"/>
                <w:szCs w:val="24"/>
              </w:rPr>
              <w:t>、工厂需要高压开关切换操作、</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20</w:t>
            </w:r>
          </w:p>
        </w:tc>
      </w:tr>
      <w:tr>
        <w:tblPrEx>
          <w:tblLayout w:type="fixed"/>
          <w:tblCellMar>
            <w:top w:w="0" w:type="dxa"/>
            <w:left w:w="108" w:type="dxa"/>
            <w:bottom w:w="0" w:type="dxa"/>
            <w:right w:w="108" w:type="dxa"/>
          </w:tblCellMar>
        </w:tblPrEx>
        <w:trPr>
          <w:trHeight w:val="402"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kern w:val="0"/>
                <w:sz w:val="24"/>
                <w:szCs w:val="24"/>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宋体"/>
                <w:kern w:val="0"/>
                <w:sz w:val="24"/>
                <w:szCs w:val="24"/>
              </w:rPr>
            </w:pPr>
          </w:p>
        </w:tc>
        <w:tc>
          <w:tcPr>
            <w:tcW w:w="5514"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rPr>
            </w:pPr>
            <w:r>
              <w:rPr>
                <w:rFonts w:ascii="Calibri" w:hAnsi="Calibri" w:eastAsia="宋体" w:cs="Times New Roman"/>
                <w:kern w:val="0"/>
                <w:sz w:val="24"/>
                <w:szCs w:val="24"/>
              </w:rPr>
              <w:t>2</w:t>
            </w:r>
            <w:r>
              <w:rPr>
                <w:rFonts w:hint="eastAsia" w:ascii="宋体" w:hAnsi="宋体" w:eastAsia="宋体" w:cs="Times New Roman"/>
                <w:kern w:val="0"/>
                <w:sz w:val="24"/>
                <w:szCs w:val="24"/>
              </w:rPr>
              <w:t>、根据供电局调度令的操作</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20</w:t>
            </w:r>
          </w:p>
        </w:tc>
      </w:tr>
      <w:tr>
        <w:tblPrEx>
          <w:tblLayout w:type="fixed"/>
          <w:tblCellMar>
            <w:top w:w="0" w:type="dxa"/>
            <w:left w:w="108" w:type="dxa"/>
            <w:bottom w:w="0" w:type="dxa"/>
            <w:right w:w="108" w:type="dxa"/>
          </w:tblCellMar>
        </w:tblPrEx>
        <w:trPr>
          <w:trHeight w:val="402"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kern w:val="0"/>
                <w:sz w:val="24"/>
                <w:szCs w:val="24"/>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Calibri" w:eastAsia="宋体" w:cs="宋体"/>
                <w:kern w:val="0"/>
                <w:sz w:val="24"/>
                <w:szCs w:val="24"/>
              </w:rPr>
            </w:pPr>
          </w:p>
        </w:tc>
        <w:tc>
          <w:tcPr>
            <w:tcW w:w="5514"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rPr>
            </w:pPr>
            <w:r>
              <w:rPr>
                <w:rFonts w:ascii="Calibri" w:hAnsi="Calibri" w:eastAsia="宋体" w:cs="Times New Roman"/>
                <w:kern w:val="0"/>
                <w:sz w:val="24"/>
                <w:szCs w:val="24"/>
              </w:rPr>
              <w:t>3</w:t>
            </w:r>
            <w:r>
              <w:rPr>
                <w:rFonts w:hint="eastAsia" w:ascii="宋体" w:hAnsi="宋体" w:eastAsia="宋体" w:cs="Times New Roman"/>
                <w:kern w:val="0"/>
                <w:sz w:val="24"/>
                <w:szCs w:val="24"/>
              </w:rPr>
              <w:t>、故障的排除</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20</w:t>
            </w:r>
          </w:p>
        </w:tc>
      </w:tr>
    </w:tbl>
    <w:p>
      <w:pPr>
        <w:spacing w:line="320" w:lineRule="exact"/>
        <w:rPr>
          <w:rFonts w:ascii="宋体" w:hAnsi="Calibri" w:eastAsia="宋体" w:cs="Times New Roman"/>
          <w:b/>
          <w:sz w:val="24"/>
          <w:szCs w:val="24"/>
        </w:rPr>
      </w:pPr>
    </w:p>
    <w:p>
      <w:pPr>
        <w:spacing w:line="320" w:lineRule="exact"/>
        <w:rPr>
          <w:rFonts w:ascii="宋体" w:hAnsi="Calibri" w:eastAsia="宋体" w:cs="Times New Roman"/>
          <w:b/>
          <w:sz w:val="24"/>
          <w:szCs w:val="24"/>
        </w:rPr>
      </w:pPr>
    </w:p>
    <w:p>
      <w:pPr>
        <w:spacing w:line="320" w:lineRule="exact"/>
        <w:rPr>
          <w:rFonts w:ascii="宋体" w:hAnsi="宋体" w:eastAsia="宋体" w:cs="Times New Roman"/>
          <w:b/>
          <w:sz w:val="24"/>
          <w:szCs w:val="24"/>
        </w:rPr>
      </w:pPr>
    </w:p>
    <w:p>
      <w:pPr>
        <w:spacing w:line="320" w:lineRule="exact"/>
        <w:rPr>
          <w:rFonts w:ascii="宋体" w:hAnsi="Calibri"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lang w:val="en-US" w:eastAsia="zh-CN"/>
        </w:rPr>
        <w:t>3</w:t>
      </w:r>
      <w:r>
        <w:rPr>
          <w:rFonts w:hint="eastAsia" w:ascii="宋体" w:hAnsi="宋体" w:eastAsia="宋体" w:cs="Times New Roman"/>
          <w:b/>
          <w:sz w:val="24"/>
          <w:szCs w:val="24"/>
        </w:rPr>
        <w:t>故障抢</w:t>
      </w:r>
      <w:r>
        <w:rPr>
          <w:rFonts w:ascii="宋体" w:hAnsi="宋体" w:eastAsia="宋体" w:cs="Times New Roman"/>
          <w:b/>
          <w:sz w:val="24"/>
          <w:szCs w:val="24"/>
        </w:rPr>
        <w:t>(</w:t>
      </w:r>
      <w:r>
        <w:rPr>
          <w:rFonts w:hint="eastAsia" w:ascii="宋体" w:hAnsi="宋体" w:eastAsia="宋体" w:cs="Times New Roman"/>
          <w:b/>
          <w:sz w:val="24"/>
          <w:szCs w:val="24"/>
        </w:rPr>
        <w:t>检</w:t>
      </w:r>
      <w:r>
        <w:rPr>
          <w:rFonts w:ascii="宋体" w:hAnsi="宋体" w:eastAsia="宋体" w:cs="Times New Roman"/>
          <w:b/>
          <w:sz w:val="24"/>
          <w:szCs w:val="24"/>
        </w:rPr>
        <w:t>)</w:t>
      </w:r>
      <w:r>
        <w:rPr>
          <w:rFonts w:hint="eastAsia" w:ascii="宋体" w:hAnsi="宋体" w:eastAsia="宋体" w:cs="Times New Roman"/>
          <w:b/>
          <w:sz w:val="24"/>
          <w:szCs w:val="24"/>
        </w:rPr>
        <w:t>修</w:t>
      </w:r>
      <w:r>
        <w:rPr>
          <w:rFonts w:ascii="宋体" w:hAnsi="宋体" w:eastAsia="宋体" w:cs="Times New Roman"/>
          <w:b/>
          <w:sz w:val="24"/>
          <w:szCs w:val="24"/>
        </w:rPr>
        <w:t>:</w:t>
      </w:r>
    </w:p>
    <w:p>
      <w:pPr>
        <w:numPr>
          <w:ilvl w:val="0"/>
          <w:numId w:val="4"/>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及时处理巡视中发现的故障和隐患，降低突发事故的发生机率。</w:t>
      </w:r>
    </w:p>
    <w:p>
      <w:pPr>
        <w:numPr>
          <w:ilvl w:val="0"/>
          <w:numId w:val="4"/>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对日常巡视中发现的故障和隐患按故障的级别进行有计划的消除。</w:t>
      </w:r>
    </w:p>
    <w:p>
      <w:pPr>
        <w:numPr>
          <w:ilvl w:val="0"/>
          <w:numId w:val="4"/>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每年度对服务范围内的高低压配电设备进行停电维护检修和安全性能的检查、评定。</w:t>
      </w:r>
    </w:p>
    <w:p>
      <w:pPr>
        <w:numPr>
          <w:ilvl w:val="0"/>
          <w:numId w:val="4"/>
        </w:numPr>
        <w:spacing w:line="320" w:lineRule="exact"/>
        <w:ind w:left="420" w:hanging="420"/>
        <w:rPr>
          <w:rFonts w:ascii="宋体" w:hAnsi="Calibri" w:eastAsia="宋体" w:cs="Times New Roman"/>
          <w:sz w:val="24"/>
          <w:szCs w:val="24"/>
        </w:rPr>
      </w:pPr>
      <w:r>
        <w:rPr>
          <w:rFonts w:hint="eastAsia" w:ascii="宋体" w:hAnsi="宋体" w:eastAsia="宋体" w:cs="Times New Roman"/>
          <w:sz w:val="24"/>
          <w:szCs w:val="24"/>
        </w:rPr>
        <w:t>当服务范围内的设备发生故障时，立即调动相关抢修人员和设备，在接报障电话后</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小时内到现场，进行事故紧急处理，防止事故扩大，并以最短时间恢复供电。</w:t>
      </w:r>
    </w:p>
    <w:p>
      <w:pPr>
        <w:spacing w:line="320" w:lineRule="exact"/>
        <w:ind w:left="104"/>
        <w:rPr>
          <w:rFonts w:hint="eastAsia" w:ascii="宋体" w:hAnsi="宋体" w:eastAsia="宋体" w:cs="Times New Roman"/>
          <w:sz w:val="24"/>
          <w:szCs w:val="24"/>
          <w:lang w:eastAsia="zh-CN"/>
        </w:rPr>
      </w:pPr>
      <w:r>
        <w:rPr>
          <w:rFonts w:hint="eastAsia" w:ascii="宋体" w:hAnsi="宋体" w:eastAsia="宋体" w:cs="Times New Roman"/>
          <w:b/>
          <w:sz w:val="24"/>
          <w:szCs w:val="24"/>
        </w:rPr>
        <w:t>收费说明：</w:t>
      </w:r>
      <w:r>
        <w:rPr>
          <w:rFonts w:hint="eastAsia" w:ascii="宋体" w:hAnsi="宋体" w:eastAsia="宋体" w:cs="Times New Roman"/>
          <w:bCs/>
          <w:sz w:val="24"/>
          <w:szCs w:val="24"/>
        </w:rPr>
        <w:t>以上价格已包含全天候紧急维修服务，对突发事件的及时处理、故障的及时</w:t>
      </w:r>
      <w:r>
        <w:rPr>
          <w:rFonts w:hint="eastAsia" w:ascii="宋体" w:hAnsi="宋体" w:eastAsia="宋体" w:cs="Times New Roman"/>
          <w:bCs/>
          <w:sz w:val="24"/>
          <w:szCs w:val="24"/>
          <w:lang w:val="en-US" w:eastAsia="zh-CN"/>
        </w:rPr>
        <w:t>抢</w:t>
      </w:r>
      <w:r>
        <w:rPr>
          <w:rFonts w:hint="eastAsia" w:ascii="宋体" w:hAnsi="宋体" w:eastAsia="宋体" w:cs="Times New Roman"/>
          <w:bCs/>
          <w:sz w:val="24"/>
          <w:szCs w:val="24"/>
        </w:rPr>
        <w:t>修</w:t>
      </w:r>
      <w:r>
        <w:rPr>
          <w:rFonts w:hint="eastAsia" w:ascii="宋体" w:hAnsi="宋体" w:eastAsia="宋体" w:cs="Times New Roman"/>
          <w:bCs/>
          <w:sz w:val="24"/>
          <w:szCs w:val="24"/>
          <w:lang w:val="en-US" w:eastAsia="zh-CN"/>
        </w:rPr>
        <w:t>免</w:t>
      </w:r>
      <w:r>
        <w:rPr>
          <w:rFonts w:hint="eastAsia" w:ascii="宋体" w:hAnsi="宋体" w:eastAsia="宋体" w:cs="Times New Roman"/>
          <w:bCs/>
          <w:sz w:val="24"/>
          <w:szCs w:val="24"/>
          <w:shd w:val="clear"/>
          <w:lang w:val="en-US" w:eastAsia="zh-CN"/>
        </w:rPr>
        <w:t>3</w:t>
      </w:r>
      <w:r>
        <w:rPr>
          <w:rFonts w:hint="eastAsia" w:ascii="宋体" w:hAnsi="宋体" w:eastAsia="宋体" w:cs="Times New Roman"/>
          <w:bCs/>
          <w:sz w:val="24"/>
          <w:szCs w:val="24"/>
          <w:lang w:val="en-US" w:eastAsia="zh-CN"/>
        </w:rPr>
        <w:t>个</w:t>
      </w:r>
      <w:r>
        <w:rPr>
          <w:rFonts w:hint="eastAsia" w:ascii="宋体" w:hAnsi="宋体" w:eastAsia="宋体" w:cs="Times New Roman"/>
          <w:bCs/>
          <w:sz w:val="24"/>
          <w:szCs w:val="24"/>
        </w:rPr>
        <w:t>人工费等服务。</w:t>
      </w:r>
      <w:r>
        <w:rPr>
          <w:rFonts w:hint="eastAsia" w:ascii="宋体" w:hAnsi="宋体" w:eastAsia="宋体" w:cs="Times New Roman"/>
          <w:sz w:val="24"/>
          <w:szCs w:val="24"/>
        </w:rPr>
        <w:t>不含日常维修、事故抢修产生的材料费</w:t>
      </w:r>
      <w:r>
        <w:rPr>
          <w:rFonts w:hint="eastAsia" w:ascii="宋体" w:hAnsi="宋体" w:eastAsia="宋体" w:cs="Times New Roman"/>
          <w:sz w:val="24"/>
          <w:szCs w:val="24"/>
          <w:lang w:eastAsia="zh-CN"/>
        </w:rPr>
        <w:t>。</w:t>
      </w:r>
    </w:p>
    <w:p>
      <w:pPr>
        <w:spacing w:line="320" w:lineRule="exact"/>
        <w:ind w:left="104"/>
        <w:rPr>
          <w:rFonts w:hint="eastAsia" w:ascii="宋体" w:hAnsi="宋体" w:eastAsia="宋体" w:cs="Times New Roman"/>
          <w:sz w:val="24"/>
          <w:szCs w:val="24"/>
          <w:lang w:eastAsia="zh-CN"/>
        </w:rPr>
      </w:pPr>
    </w:p>
    <w:p>
      <w:pPr>
        <w:spacing w:line="320" w:lineRule="exact"/>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lang w:val="en-US" w:eastAsia="zh-CN"/>
        </w:rPr>
        <w:t>3预防性电气试验</w:t>
      </w:r>
      <w:r>
        <w:rPr>
          <w:rFonts w:ascii="宋体" w:hAnsi="宋体" w:eastAsia="宋体" w:cs="Times New Roman"/>
          <w:b/>
          <w:sz w:val="24"/>
          <w:szCs w:val="24"/>
        </w:rPr>
        <w:t>:</w:t>
      </w:r>
    </w:p>
    <w:p>
      <w:pPr>
        <w:spacing w:line="320" w:lineRule="exact"/>
        <w:rPr>
          <w:rFonts w:hint="default" w:ascii="宋体" w:hAnsi="宋体" w:eastAsia="宋体" w:cs="Times New Roman"/>
          <w:b/>
          <w:sz w:val="24"/>
          <w:szCs w:val="24"/>
          <w:shd w:val="clear" w:color="auto" w:fill="auto"/>
          <w:lang w:val="en-US" w:eastAsia="zh-CN"/>
        </w:rPr>
      </w:pPr>
      <w:r>
        <w:rPr>
          <w:rFonts w:hint="eastAsia" w:ascii="宋体" w:hAnsi="宋体" w:eastAsia="宋体" w:cs="Times New Roman"/>
          <w:b/>
          <w:sz w:val="24"/>
          <w:szCs w:val="24"/>
          <w:shd w:val="clear" w:color="auto" w:fill="auto"/>
          <w:lang w:val="en-US" w:eastAsia="zh-CN"/>
        </w:rPr>
        <w:t xml:space="preserve">   </w:t>
      </w:r>
      <w:r>
        <w:rPr>
          <w:rFonts w:hint="eastAsia" w:ascii="宋体" w:hAnsi="宋体" w:eastAsia="宋体" w:cs="Times New Roman"/>
          <w:b w:val="0"/>
          <w:bCs/>
          <w:sz w:val="24"/>
          <w:szCs w:val="24"/>
          <w:shd w:val="clear" w:color="auto" w:fill="auto"/>
          <w:lang w:val="en-US" w:eastAsia="zh-CN"/>
        </w:rPr>
        <w:t>根据用户需求，可每2年进行一次全设备的电气预防性试验，根据试验数据评估设备运行情况，并制定相应的维修计划。</w:t>
      </w:r>
    </w:p>
    <w:p>
      <w:pPr>
        <w:spacing w:line="320" w:lineRule="exact"/>
        <w:ind w:left="104"/>
        <w:rPr>
          <w:rFonts w:hint="eastAsia" w:ascii="宋体" w:hAnsi="宋体" w:eastAsia="宋体" w:cs="Times New Roman"/>
          <w:sz w:val="24"/>
          <w:szCs w:val="24"/>
        </w:rPr>
      </w:pPr>
    </w:p>
    <w:p>
      <w:pPr>
        <w:spacing w:line="320" w:lineRule="exact"/>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lang w:val="en-US" w:eastAsia="zh-CN"/>
        </w:rPr>
        <w:t>4保电及咨询服务</w:t>
      </w:r>
      <w:r>
        <w:rPr>
          <w:rFonts w:ascii="宋体" w:hAnsi="宋体" w:eastAsia="宋体" w:cs="Times New Roman"/>
          <w:b/>
          <w:sz w:val="24"/>
          <w:szCs w:val="24"/>
        </w:rPr>
        <w:t>:</w:t>
      </w:r>
    </w:p>
    <w:p>
      <w:pPr>
        <w:spacing w:line="320" w:lineRule="exact"/>
        <w:rPr>
          <w:rFonts w:ascii="宋体" w:hAnsi="宋体" w:eastAsia="宋体" w:cs="Times New Roman"/>
          <w:b/>
          <w:sz w:val="24"/>
          <w:szCs w:val="24"/>
        </w:rPr>
      </w:pPr>
    </w:p>
    <w:p>
      <w:pPr>
        <w:numPr>
          <w:ilvl w:val="0"/>
          <w:numId w:val="5"/>
        </w:numPr>
        <w:spacing w:line="320" w:lineRule="exact"/>
        <w:ind w:left="10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提供重要时期的保电业务，派人及发电车辆驻扎甲方配电房。</w:t>
      </w:r>
    </w:p>
    <w:p>
      <w:pPr>
        <w:numPr>
          <w:ilvl w:val="0"/>
          <w:numId w:val="5"/>
        </w:numPr>
        <w:spacing w:line="320" w:lineRule="exact"/>
        <w:ind w:left="104"/>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提供免费的电力咨询服务，免费为甲方电力工程监理服务。</w:t>
      </w:r>
    </w:p>
    <w:p>
      <w:pPr>
        <w:numPr>
          <w:ilvl w:val="0"/>
          <w:numId w:val="5"/>
        </w:numPr>
        <w:spacing w:line="320" w:lineRule="exact"/>
        <w:ind w:left="104"/>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提供最前沿的电费及用电节约信息。</w:t>
      </w:r>
    </w:p>
    <w:p/>
    <w:p>
      <w:pPr>
        <w:rPr>
          <w:lang w:bidi="he-IL"/>
        </w:rPr>
      </w:pPr>
    </w:p>
    <w:p>
      <w:pPr>
        <w:rPr>
          <w:rFonts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、商务要求</w:t>
      </w:r>
    </w:p>
    <w:p>
      <w:pPr>
        <w:rPr>
          <w:rFonts w:ascii="宋体" w:hAnsi="宋体" w:cs="宋体"/>
          <w:b/>
          <w:bCs/>
          <w:szCs w:val="21"/>
        </w:rPr>
      </w:pPr>
      <w:r>
        <w:rPr>
          <w:rFonts w:hint="eastAsia" w:ascii="宋体" w:hAnsi="宋体" w:cs="宋体"/>
          <w:b/>
          <w:bCs/>
          <w:szCs w:val="21"/>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签订合同后</w:t>
            </w:r>
            <w:r>
              <w:rPr>
                <w:rFonts w:hint="eastAsia" w:ascii="宋体" w:hAnsi="宋体" w:cs="宋体"/>
                <w:b/>
                <w:bCs/>
                <w:szCs w:val="21"/>
                <w:lang w:val="en-US" w:eastAsia="zh-CN"/>
              </w:rPr>
              <w:t>根据采购需求提供维保服务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售后服务</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szCs w:val="21"/>
                <w:lang w:val="en-US" w:eastAsia="zh-CN"/>
              </w:rPr>
              <w:t>合同签订后开具发票支付50%，完成服务周期后验收付全款。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r>
        <w:rPr>
          <w:rFonts w:hint="eastAsia" w:ascii="宋体" w:hAnsi="宋体"/>
        </w:rPr>
        <w:t xml:space="preserve">    </w:t>
      </w: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87B75"/>
    <w:multiLevelType w:val="singleLevel"/>
    <w:tmpl w:val="A8D87B75"/>
    <w:lvl w:ilvl="0" w:tentative="0">
      <w:start w:val="1"/>
      <w:numFmt w:val="decimal"/>
      <w:lvlText w:val="%1."/>
      <w:lvlJc w:val="left"/>
      <w:pPr>
        <w:tabs>
          <w:tab w:val="left" w:pos="312"/>
        </w:tabs>
      </w:pPr>
    </w:lvl>
  </w:abstractNum>
  <w:abstractNum w:abstractNumId="1">
    <w:nsid w:val="08B526CD"/>
    <w:multiLevelType w:val="multilevel"/>
    <w:tmpl w:val="08B526CD"/>
    <w:lvl w:ilvl="0" w:tentative="0">
      <w:start w:val="1"/>
      <w:numFmt w:val="decimal"/>
      <w:lvlText w:val="(%1)"/>
      <w:lvlJc w:val="left"/>
      <w:pPr>
        <w:ind w:left="420" w:hanging="420"/>
      </w:pPr>
      <w:rPr>
        <w:rFonts w:hint="eastAsia"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E9049D6"/>
    <w:multiLevelType w:val="multilevel"/>
    <w:tmpl w:val="6E9049D6"/>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280"/>
        </w:tabs>
        <w:ind w:left="280" w:hanging="420"/>
      </w:pPr>
      <w:rPr>
        <w:rFonts w:cs="Times New Roman"/>
      </w:rPr>
    </w:lvl>
    <w:lvl w:ilvl="2" w:tentative="0">
      <w:start w:val="1"/>
      <w:numFmt w:val="lowerRoman"/>
      <w:lvlText w:val="%3."/>
      <w:lvlJc w:val="right"/>
      <w:pPr>
        <w:tabs>
          <w:tab w:val="left" w:pos="700"/>
        </w:tabs>
        <w:ind w:left="700" w:hanging="420"/>
      </w:pPr>
      <w:rPr>
        <w:rFonts w:cs="Times New Roman"/>
      </w:rPr>
    </w:lvl>
    <w:lvl w:ilvl="3" w:tentative="0">
      <w:start w:val="1"/>
      <w:numFmt w:val="decimal"/>
      <w:lvlText w:val="(%4)"/>
      <w:lvlJc w:val="left"/>
      <w:pPr>
        <w:tabs>
          <w:tab w:val="left" w:pos="1120"/>
        </w:tabs>
        <w:ind w:left="1120" w:hanging="420"/>
      </w:pPr>
      <w:rPr>
        <w:rFonts w:hint="eastAsia" w:ascii="宋体" w:hAnsi="宋体" w:eastAsia="宋体" w:cs="Times New Roman"/>
      </w:rPr>
    </w:lvl>
    <w:lvl w:ilvl="4" w:tentative="0">
      <w:start w:val="1"/>
      <w:numFmt w:val="lowerLetter"/>
      <w:lvlText w:val="%5)"/>
      <w:lvlJc w:val="left"/>
      <w:pPr>
        <w:tabs>
          <w:tab w:val="left" w:pos="1540"/>
        </w:tabs>
        <w:ind w:left="1540" w:hanging="420"/>
      </w:pPr>
      <w:rPr>
        <w:rFonts w:cs="Times New Roman"/>
      </w:rPr>
    </w:lvl>
    <w:lvl w:ilvl="5" w:tentative="0">
      <w:start w:val="1"/>
      <w:numFmt w:val="lowerRoman"/>
      <w:lvlText w:val="%6."/>
      <w:lvlJc w:val="right"/>
      <w:pPr>
        <w:tabs>
          <w:tab w:val="left" w:pos="1960"/>
        </w:tabs>
        <w:ind w:left="1960" w:hanging="420"/>
      </w:pPr>
      <w:rPr>
        <w:rFonts w:cs="Times New Roman"/>
      </w:rPr>
    </w:lvl>
    <w:lvl w:ilvl="6" w:tentative="0">
      <w:start w:val="1"/>
      <w:numFmt w:val="decimal"/>
      <w:lvlText w:val="%7."/>
      <w:lvlJc w:val="left"/>
      <w:pPr>
        <w:tabs>
          <w:tab w:val="left" w:pos="2380"/>
        </w:tabs>
        <w:ind w:left="2380" w:hanging="420"/>
      </w:pPr>
      <w:rPr>
        <w:rFonts w:cs="Times New Roman"/>
      </w:rPr>
    </w:lvl>
    <w:lvl w:ilvl="7" w:tentative="0">
      <w:start w:val="1"/>
      <w:numFmt w:val="lowerLetter"/>
      <w:lvlText w:val="%8)"/>
      <w:lvlJc w:val="left"/>
      <w:pPr>
        <w:tabs>
          <w:tab w:val="left" w:pos="2800"/>
        </w:tabs>
        <w:ind w:left="2800" w:hanging="420"/>
      </w:pPr>
      <w:rPr>
        <w:rFonts w:cs="Times New Roman"/>
      </w:rPr>
    </w:lvl>
    <w:lvl w:ilvl="8" w:tentative="0">
      <w:start w:val="1"/>
      <w:numFmt w:val="lowerRoman"/>
      <w:lvlText w:val="%9."/>
      <w:lvlJc w:val="right"/>
      <w:pPr>
        <w:tabs>
          <w:tab w:val="left" w:pos="3220"/>
        </w:tabs>
        <w:ind w:left="32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026C621B"/>
    <w:rsid w:val="16C22DA1"/>
    <w:rsid w:val="6312673A"/>
    <w:rsid w:val="69360A9B"/>
    <w:rsid w:val="744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qFormat/>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7"/>
    <w:link w:val="3"/>
    <w:qFormat/>
    <w:uiPriority w:val="0"/>
    <w:rPr>
      <w:rFonts w:ascii="Times New Roman" w:hAnsi="Times New Roman" w:eastAsia="宋体" w:cs="Times New Roman"/>
      <w:b/>
      <w:bCs/>
      <w:kern w:val="44"/>
      <w:sz w:val="44"/>
      <w:szCs w:val="44"/>
    </w:rPr>
  </w:style>
  <w:style w:type="character" w:customStyle="1" w:styleId="10">
    <w:name w:val="纯文本 Char"/>
    <w:basedOn w:val="7"/>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7"/>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40</TotalTime>
  <ScaleCrop>false</ScaleCrop>
  <LinksUpToDate>false</LinksUpToDate>
  <CharactersWithSpaces>1810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2024-04-01T01:47:03Z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